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64" w:rsidRPr="00C2791C" w:rsidRDefault="00115E64" w:rsidP="00115E64">
      <w:pPr>
        <w:jc w:val="center"/>
        <w:rPr>
          <w:b/>
          <w:bCs/>
          <w:color w:val="000000" w:themeColor="text1"/>
          <w:sz w:val="36"/>
          <w:szCs w:val="36"/>
        </w:rPr>
      </w:pPr>
      <w:r w:rsidRPr="00C2791C">
        <w:rPr>
          <w:rFonts w:ascii="Calibri" w:eastAsia="Calibri" w:hAnsi="Calibri" w:cs="Times New Roman"/>
          <w:b/>
          <w:bCs/>
          <w:color w:val="000000" w:themeColor="text1"/>
          <w:sz w:val="36"/>
          <w:szCs w:val="36"/>
        </w:rPr>
        <w:t>COMUNICATO STAMPA</w:t>
      </w:r>
    </w:p>
    <w:p w:rsidR="00D12FC5" w:rsidRDefault="00B264E9" w:rsidP="001A6CCF">
      <w:pPr>
        <w:spacing w:after="0"/>
        <w:jc w:val="center"/>
        <w:rPr>
          <w:b/>
          <w:bCs/>
          <w:sz w:val="32"/>
          <w:szCs w:val="32"/>
        </w:rPr>
      </w:pPr>
      <w:r w:rsidRPr="00103368">
        <w:rPr>
          <w:b/>
          <w:bCs/>
          <w:sz w:val="32"/>
          <w:szCs w:val="32"/>
        </w:rPr>
        <w:t>CORONAVIRUS</w:t>
      </w:r>
      <w:r w:rsidR="00B23DA5">
        <w:rPr>
          <w:b/>
          <w:bCs/>
          <w:sz w:val="32"/>
          <w:szCs w:val="32"/>
        </w:rPr>
        <w:t xml:space="preserve">: </w:t>
      </w:r>
      <w:r w:rsidR="00D12FC5">
        <w:rPr>
          <w:b/>
          <w:bCs/>
          <w:sz w:val="32"/>
          <w:szCs w:val="32"/>
        </w:rPr>
        <w:t>SI SVUOTANO GLI OSPEDALI</w:t>
      </w:r>
      <w:r w:rsidR="001A6CCF">
        <w:rPr>
          <w:b/>
          <w:bCs/>
          <w:sz w:val="32"/>
          <w:szCs w:val="32"/>
        </w:rPr>
        <w:t xml:space="preserve"> E CALANO I DECESSI</w:t>
      </w:r>
      <w:r w:rsidR="00D12FC5">
        <w:rPr>
          <w:b/>
          <w:bCs/>
          <w:sz w:val="32"/>
          <w:szCs w:val="32"/>
        </w:rPr>
        <w:t>.</w:t>
      </w:r>
    </w:p>
    <w:p w:rsidR="00AB3E81" w:rsidRPr="00121FED" w:rsidRDefault="00E35DF1" w:rsidP="00D12FC5">
      <w:pPr>
        <w:spacing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MA </w:t>
      </w:r>
      <w:r w:rsidR="0090451C">
        <w:rPr>
          <w:b/>
          <w:bCs/>
          <w:sz w:val="32"/>
          <w:szCs w:val="32"/>
        </w:rPr>
        <w:t xml:space="preserve">I </w:t>
      </w:r>
      <w:r w:rsidR="00515DD0">
        <w:rPr>
          <w:b/>
          <w:bCs/>
          <w:sz w:val="32"/>
          <w:szCs w:val="32"/>
        </w:rPr>
        <w:t xml:space="preserve">CRITERI </w:t>
      </w:r>
      <w:r w:rsidR="0090451C">
        <w:rPr>
          <w:b/>
          <w:bCs/>
          <w:sz w:val="32"/>
          <w:szCs w:val="32"/>
        </w:rPr>
        <w:t xml:space="preserve">PER LA </w:t>
      </w:r>
      <w:r w:rsidR="00515DD0">
        <w:rPr>
          <w:b/>
          <w:bCs/>
          <w:sz w:val="32"/>
          <w:szCs w:val="32"/>
        </w:rPr>
        <w:t>ZONA BIANCA SCORAGGIANO TESTING &amp; TRACING</w:t>
      </w:r>
      <w:r w:rsidR="001A6CCF">
        <w:rPr>
          <w:b/>
          <w:bCs/>
          <w:sz w:val="32"/>
          <w:szCs w:val="32"/>
        </w:rPr>
        <w:t xml:space="preserve">: </w:t>
      </w:r>
      <w:r w:rsidR="009E6C0C">
        <w:rPr>
          <w:b/>
          <w:bCs/>
          <w:sz w:val="32"/>
          <w:szCs w:val="32"/>
        </w:rPr>
        <w:br/>
      </w:r>
      <w:r w:rsidR="001A6CCF">
        <w:rPr>
          <w:b/>
          <w:bCs/>
          <w:sz w:val="32"/>
          <w:szCs w:val="32"/>
        </w:rPr>
        <w:t xml:space="preserve">IN 3 SETTIMANE </w:t>
      </w:r>
      <w:r w:rsidR="0090451C">
        <w:rPr>
          <w:b/>
          <w:bCs/>
          <w:sz w:val="32"/>
          <w:szCs w:val="32"/>
        </w:rPr>
        <w:t>CROLLO DE</w:t>
      </w:r>
      <w:r w:rsidR="001A6CCF">
        <w:rPr>
          <w:b/>
          <w:bCs/>
          <w:sz w:val="32"/>
          <w:szCs w:val="32"/>
        </w:rPr>
        <w:t>I TAMPONI (-3</w:t>
      </w:r>
      <w:r w:rsidR="00363B58">
        <w:rPr>
          <w:b/>
          <w:bCs/>
          <w:sz w:val="32"/>
          <w:szCs w:val="32"/>
        </w:rPr>
        <w:t>4</w:t>
      </w:r>
      <w:r w:rsidR="001A6CCF">
        <w:rPr>
          <w:b/>
          <w:bCs/>
          <w:sz w:val="32"/>
          <w:szCs w:val="32"/>
        </w:rPr>
        <w:t xml:space="preserve">%) </w:t>
      </w:r>
      <w:r w:rsidR="00515DD0">
        <w:rPr>
          <w:b/>
          <w:bCs/>
          <w:sz w:val="32"/>
          <w:szCs w:val="32"/>
        </w:rPr>
        <w:br/>
      </w:r>
      <w:r w:rsidR="00B264E9" w:rsidRPr="00103368">
        <w:rPr>
          <w:b/>
          <w:bCs/>
          <w:sz w:val="32"/>
          <w:szCs w:val="32"/>
        </w:rPr>
        <w:t xml:space="preserve">VACCINI: </w:t>
      </w:r>
      <w:r w:rsidR="00515DD0">
        <w:rPr>
          <w:b/>
          <w:bCs/>
          <w:sz w:val="32"/>
          <w:szCs w:val="32"/>
        </w:rPr>
        <w:t xml:space="preserve">OLTRE 3,3 MILIONI DI OVER 60 SENZA </w:t>
      </w:r>
      <w:r w:rsidR="0043323A">
        <w:rPr>
          <w:b/>
          <w:bCs/>
          <w:sz w:val="32"/>
          <w:szCs w:val="32"/>
        </w:rPr>
        <w:t>COPERTURA</w:t>
      </w:r>
    </w:p>
    <w:p w:rsidR="004A6472" w:rsidRPr="00363B58" w:rsidRDefault="00B264E9" w:rsidP="00B264E9">
      <w:pPr>
        <w:spacing w:after="120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B264E9">
        <w:rPr>
          <w:rFonts w:ascii="Calibri" w:eastAsia="Calibri" w:hAnsi="Calibri" w:cs="Times New Roman"/>
          <w:b/>
          <w:bCs/>
          <w:sz w:val="24"/>
          <w:szCs w:val="24"/>
        </w:rPr>
        <w:t>IL MONITORAGGIO DELLA FONDAZIONE GIMBE CONFERMA, NELLA SETTIMANA 2</w:t>
      </w:r>
      <w:r w:rsidR="00065BEB">
        <w:rPr>
          <w:rFonts w:ascii="Calibri" w:eastAsia="Calibri" w:hAnsi="Calibri" w:cs="Times New Roman"/>
          <w:b/>
          <w:bCs/>
          <w:sz w:val="24"/>
          <w:szCs w:val="24"/>
        </w:rPr>
        <w:t>6</w:t>
      </w:r>
      <w:r w:rsidRPr="00B264E9">
        <w:rPr>
          <w:rFonts w:ascii="Calibri" w:eastAsia="Calibri" w:hAnsi="Calibri" w:cs="Times New Roman"/>
          <w:b/>
          <w:bCs/>
          <w:sz w:val="24"/>
          <w:szCs w:val="24"/>
        </w:rPr>
        <w:t xml:space="preserve"> MAGGIO</w:t>
      </w:r>
      <w:r w:rsidR="00065BEB">
        <w:rPr>
          <w:rFonts w:ascii="Calibri" w:eastAsia="Calibri" w:hAnsi="Calibri" w:cs="Times New Roman"/>
          <w:b/>
          <w:bCs/>
          <w:sz w:val="24"/>
          <w:szCs w:val="24"/>
        </w:rPr>
        <w:t>-1 GIUGNO</w:t>
      </w:r>
      <w:r w:rsidRPr="00AB3E81">
        <w:rPr>
          <w:rFonts w:ascii="Calibri" w:eastAsia="Calibri" w:hAnsi="Calibri" w:cs="Times New Roman"/>
          <w:b/>
          <w:bCs/>
          <w:sz w:val="24"/>
          <w:szCs w:val="24"/>
        </w:rPr>
        <w:t>,</w:t>
      </w:r>
      <w:r w:rsidR="00AB3E81" w:rsidRPr="00AB3E81">
        <w:rPr>
          <w:rFonts w:ascii="Calibri" w:eastAsia="Calibri" w:hAnsi="Calibri" w:cs="Times New Roman"/>
          <w:b/>
          <w:bCs/>
          <w:sz w:val="24"/>
          <w:szCs w:val="24"/>
        </w:rPr>
        <w:t xml:space="preserve"> L</w:t>
      </w:r>
      <w:r w:rsidR="00363B58">
        <w:rPr>
          <w:rFonts w:ascii="Calibri" w:eastAsia="Calibri" w:hAnsi="Calibri" w:cs="Times New Roman"/>
          <w:b/>
          <w:bCs/>
          <w:sz w:val="24"/>
          <w:szCs w:val="24"/>
        </w:rPr>
        <w:t>A RIDUZIONE DI NU</w:t>
      </w:r>
      <w:bookmarkStart w:id="0" w:name="_GoBack"/>
      <w:bookmarkEnd w:id="0"/>
      <w:r w:rsidR="00363B58">
        <w:rPr>
          <w:rFonts w:ascii="Calibri" w:eastAsia="Calibri" w:hAnsi="Calibri" w:cs="Times New Roman"/>
          <w:b/>
          <w:bCs/>
          <w:sz w:val="24"/>
          <w:szCs w:val="24"/>
        </w:rPr>
        <w:t>OVI CASI (-27%) E DECESSI (-28</w:t>
      </w:r>
      <w:r w:rsidRPr="00AB3E81">
        <w:rPr>
          <w:rFonts w:ascii="Calibri" w:eastAsia="Calibri" w:hAnsi="Calibri" w:cs="Times New Roman"/>
          <w:b/>
          <w:bCs/>
          <w:sz w:val="24"/>
          <w:szCs w:val="24"/>
        </w:rPr>
        <w:t>%)</w:t>
      </w:r>
      <w:r w:rsidR="009E6C0C">
        <w:rPr>
          <w:rFonts w:ascii="Calibri" w:eastAsia="Calibri" w:hAnsi="Calibri" w:cs="Times New Roman"/>
          <w:b/>
          <w:bCs/>
          <w:sz w:val="24"/>
          <w:szCs w:val="24"/>
        </w:rPr>
        <w:t>.</w:t>
      </w:r>
      <w:r w:rsidR="00123DC8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9E6C0C" w:rsidRPr="00AB3E81">
        <w:rPr>
          <w:rFonts w:ascii="Calibri" w:eastAsia="Calibri" w:hAnsi="Calibri" w:cs="Times New Roman"/>
          <w:b/>
          <w:bCs/>
          <w:sz w:val="24"/>
          <w:szCs w:val="24"/>
        </w:rPr>
        <w:t xml:space="preserve">GRAZIE ALLE COPERTURE VACCINALI DEGLI OVER </w:t>
      </w:r>
      <w:r w:rsidR="009E6C0C">
        <w:rPr>
          <w:rFonts w:ascii="Calibri" w:eastAsia="Calibri" w:hAnsi="Calibri" w:cs="Times New Roman"/>
          <w:b/>
          <w:bCs/>
          <w:sz w:val="24"/>
          <w:szCs w:val="24"/>
        </w:rPr>
        <w:t xml:space="preserve">60 CROLLANO IN DUE </w:t>
      </w:r>
      <w:r w:rsidR="00363B58">
        <w:rPr>
          <w:rFonts w:ascii="Calibri" w:eastAsia="Calibri" w:hAnsi="Calibri" w:cs="Times New Roman"/>
          <w:b/>
          <w:bCs/>
          <w:sz w:val="24"/>
          <w:szCs w:val="24"/>
        </w:rPr>
        <w:t>MESI RICOVERI (-7</w:t>
      </w:r>
      <w:r w:rsidR="00363B58" w:rsidRPr="00363B58">
        <w:rPr>
          <w:rFonts w:ascii="Calibri" w:eastAsia="Calibri" w:hAnsi="Calibri" w:cs="Times New Roman"/>
          <w:b/>
          <w:bCs/>
          <w:sz w:val="24"/>
          <w:szCs w:val="24"/>
        </w:rPr>
        <w:t>9%) E TERAPIE INTEN</w:t>
      </w:r>
      <w:r w:rsidR="00363B58">
        <w:rPr>
          <w:rFonts w:ascii="Calibri" w:eastAsia="Calibri" w:hAnsi="Calibri" w:cs="Times New Roman"/>
          <w:b/>
          <w:bCs/>
          <w:sz w:val="24"/>
          <w:szCs w:val="24"/>
        </w:rPr>
        <w:t>SIVE (-74</w:t>
      </w:r>
      <w:r w:rsidR="009E6C0C">
        <w:rPr>
          <w:rFonts w:ascii="Calibri" w:eastAsia="Calibri" w:hAnsi="Calibri" w:cs="Times New Roman"/>
          <w:b/>
          <w:bCs/>
          <w:sz w:val="24"/>
          <w:szCs w:val="24"/>
        </w:rPr>
        <w:t>%)</w:t>
      </w:r>
      <w:r w:rsidRPr="00AB3E81">
        <w:rPr>
          <w:rFonts w:ascii="Calibri" w:eastAsia="Calibri" w:hAnsi="Calibri" w:cs="Times New Roman"/>
          <w:b/>
          <w:bCs/>
          <w:sz w:val="24"/>
          <w:szCs w:val="24"/>
        </w:rPr>
        <w:t>.</w:t>
      </w:r>
      <w:r w:rsidR="00123DC8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03368">
        <w:rPr>
          <w:rFonts w:ascii="Calibri" w:eastAsia="Calibri" w:hAnsi="Calibri" w:cs="Times New Roman"/>
          <w:b/>
          <w:bCs/>
          <w:sz w:val="24"/>
          <w:szCs w:val="24"/>
        </w:rPr>
        <w:t>VACCINI</w:t>
      </w:r>
      <w:r w:rsidR="009E6C0C">
        <w:rPr>
          <w:rFonts w:ascii="Calibri" w:eastAsia="Calibri" w:hAnsi="Calibri" w:cs="Times New Roman"/>
          <w:b/>
          <w:bCs/>
          <w:sz w:val="24"/>
          <w:szCs w:val="24"/>
        </w:rPr>
        <w:t>:</w:t>
      </w:r>
      <w:r w:rsidR="00103368">
        <w:rPr>
          <w:rFonts w:ascii="Calibri" w:eastAsia="Calibri" w:hAnsi="Calibri" w:cs="Times New Roman"/>
          <w:b/>
          <w:bCs/>
          <w:sz w:val="24"/>
          <w:szCs w:val="24"/>
        </w:rPr>
        <w:t xml:space="preserve"> FORNITURE</w:t>
      </w:r>
      <w:r w:rsidR="00123DC8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03368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43323A">
        <w:rPr>
          <w:rFonts w:ascii="Calibri" w:eastAsia="Calibri" w:hAnsi="Calibri" w:cs="Times New Roman"/>
          <w:b/>
          <w:bCs/>
          <w:sz w:val="24"/>
          <w:szCs w:val="24"/>
        </w:rPr>
        <w:t xml:space="preserve">2° </w:t>
      </w:r>
      <w:r w:rsidR="003D34A9">
        <w:rPr>
          <w:rFonts w:ascii="Calibri" w:eastAsia="Calibri" w:hAnsi="Calibri" w:cs="Times New Roman"/>
          <w:b/>
          <w:bCs/>
          <w:sz w:val="24"/>
          <w:szCs w:val="24"/>
        </w:rPr>
        <w:t>TRIMESTRE</w:t>
      </w:r>
      <w:r w:rsidR="0043323A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03368">
        <w:rPr>
          <w:rFonts w:ascii="Calibri" w:eastAsia="Calibri" w:hAnsi="Calibri" w:cs="Times New Roman"/>
          <w:b/>
          <w:bCs/>
          <w:sz w:val="24"/>
          <w:szCs w:val="24"/>
        </w:rPr>
        <w:t xml:space="preserve">SOTTO DI </w:t>
      </w:r>
      <w:r w:rsidR="003B19BD">
        <w:rPr>
          <w:rFonts w:ascii="Calibri" w:eastAsia="Calibri" w:hAnsi="Calibri" w:cs="Times New Roman"/>
          <w:b/>
          <w:bCs/>
          <w:sz w:val="24"/>
          <w:szCs w:val="24"/>
        </w:rPr>
        <w:t xml:space="preserve">ALMENO </w:t>
      </w:r>
      <w:r w:rsidR="00103368">
        <w:rPr>
          <w:rFonts w:ascii="Calibri" w:eastAsia="Calibri" w:hAnsi="Calibri" w:cs="Times New Roman"/>
          <w:b/>
          <w:bCs/>
          <w:sz w:val="24"/>
          <w:szCs w:val="24"/>
        </w:rPr>
        <w:t>1</w:t>
      </w:r>
      <w:r w:rsidR="003B19BD">
        <w:rPr>
          <w:rFonts w:ascii="Calibri" w:eastAsia="Calibri" w:hAnsi="Calibri" w:cs="Times New Roman"/>
          <w:b/>
          <w:bCs/>
          <w:sz w:val="24"/>
          <w:szCs w:val="24"/>
        </w:rPr>
        <w:t>5</w:t>
      </w:r>
      <w:r w:rsidR="00103368">
        <w:rPr>
          <w:rFonts w:ascii="Calibri" w:eastAsia="Calibri" w:hAnsi="Calibri" w:cs="Times New Roman"/>
          <w:b/>
          <w:bCs/>
          <w:sz w:val="24"/>
          <w:szCs w:val="24"/>
        </w:rPr>
        <w:t xml:space="preserve"> MILIONI DI DOSI</w:t>
      </w:r>
      <w:r w:rsidR="00123DC8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03368">
        <w:rPr>
          <w:rFonts w:ascii="Calibri" w:eastAsia="Calibri" w:hAnsi="Calibri" w:cs="Times New Roman"/>
          <w:b/>
          <w:bCs/>
          <w:sz w:val="24"/>
          <w:szCs w:val="24"/>
        </w:rPr>
        <w:t>E</w:t>
      </w:r>
      <w:r w:rsidR="00123DC8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AB3E81" w:rsidRPr="00255C33">
        <w:rPr>
          <w:rFonts w:ascii="Calibri" w:eastAsia="Calibri" w:hAnsi="Calibri" w:cs="Times New Roman"/>
          <w:b/>
          <w:bCs/>
          <w:sz w:val="24"/>
          <w:szCs w:val="24"/>
        </w:rPr>
        <w:t>3,3</w:t>
      </w:r>
      <w:r w:rsidR="006F415A" w:rsidRPr="00255C33">
        <w:rPr>
          <w:rFonts w:ascii="Calibri" w:eastAsia="Calibri" w:hAnsi="Calibri" w:cs="Times New Roman"/>
          <w:b/>
          <w:bCs/>
          <w:sz w:val="24"/>
          <w:szCs w:val="24"/>
        </w:rPr>
        <w:t xml:space="preserve"> MILIONI DI OVER 60 ANCORA SENZA COPERTURA</w:t>
      </w:r>
      <w:r w:rsidR="0043323A">
        <w:rPr>
          <w:rFonts w:ascii="Calibri" w:eastAsia="Calibri" w:hAnsi="Calibri" w:cs="Times New Roman"/>
          <w:b/>
          <w:bCs/>
          <w:sz w:val="24"/>
          <w:szCs w:val="24"/>
        </w:rPr>
        <w:t xml:space="preserve">. </w:t>
      </w:r>
      <w:r w:rsidR="001A6CCF">
        <w:rPr>
          <w:rFonts w:ascii="Calibri" w:eastAsia="Calibri" w:hAnsi="Calibri" w:cs="Times New Roman"/>
          <w:b/>
          <w:bCs/>
          <w:sz w:val="24"/>
          <w:szCs w:val="24"/>
        </w:rPr>
        <w:t xml:space="preserve">PROPOSTE GIMBE </w:t>
      </w:r>
      <w:r w:rsidR="0043323A">
        <w:rPr>
          <w:rFonts w:ascii="Calibri" w:eastAsia="Calibri" w:hAnsi="Calibri" w:cs="Times New Roman"/>
          <w:b/>
          <w:bCs/>
          <w:sz w:val="24"/>
          <w:szCs w:val="24"/>
        </w:rPr>
        <w:t xml:space="preserve">PER GARANTIRE IRREVERSIBILITÀ </w:t>
      </w:r>
      <w:r w:rsidR="0058406F">
        <w:rPr>
          <w:rFonts w:ascii="Calibri" w:eastAsia="Calibri" w:hAnsi="Calibri" w:cs="Times New Roman"/>
          <w:b/>
          <w:bCs/>
          <w:sz w:val="24"/>
          <w:szCs w:val="24"/>
        </w:rPr>
        <w:t xml:space="preserve">DELLE </w:t>
      </w:r>
      <w:r w:rsidR="0043323A">
        <w:rPr>
          <w:rFonts w:ascii="Calibri" w:eastAsia="Calibri" w:hAnsi="Calibri" w:cs="Times New Roman"/>
          <w:b/>
          <w:bCs/>
          <w:sz w:val="24"/>
          <w:szCs w:val="24"/>
        </w:rPr>
        <w:t xml:space="preserve">RIAPERTURE: </w:t>
      </w:r>
      <w:r w:rsidR="009E6C0C">
        <w:rPr>
          <w:rFonts w:ascii="Calibri" w:eastAsia="Calibri" w:hAnsi="Calibri" w:cs="Times New Roman"/>
          <w:b/>
          <w:bCs/>
          <w:sz w:val="24"/>
          <w:szCs w:val="24"/>
        </w:rPr>
        <w:t xml:space="preserve">INCENTIVARE LE REGIONI A RIPRENDERE IL TRACCIAMENTO, POTENZIARE IL SEQUENZIAMENTO PER MONITORARE VARIANTI, GESTIRE TEMPESTIVAMENTE EVENTUALI FOCOLAI, ATTUARE NUOVE </w:t>
      </w:r>
      <w:r w:rsidR="001A6CCF">
        <w:rPr>
          <w:rFonts w:ascii="Calibri" w:eastAsia="Calibri" w:hAnsi="Calibri" w:cs="Times New Roman"/>
          <w:b/>
          <w:bCs/>
          <w:sz w:val="24"/>
          <w:szCs w:val="24"/>
        </w:rPr>
        <w:t xml:space="preserve">STRATEGIE PER </w:t>
      </w:r>
      <w:r w:rsidR="003677DB">
        <w:rPr>
          <w:rFonts w:ascii="Calibri" w:eastAsia="Calibri" w:hAnsi="Calibri" w:cs="Times New Roman"/>
          <w:b/>
          <w:bCs/>
          <w:sz w:val="24"/>
          <w:szCs w:val="24"/>
        </w:rPr>
        <w:t>ANZIANI</w:t>
      </w:r>
      <w:r w:rsidR="009E6C0C">
        <w:rPr>
          <w:rFonts w:ascii="Calibri" w:eastAsia="Calibri" w:hAnsi="Calibri" w:cs="Times New Roman"/>
          <w:b/>
          <w:bCs/>
          <w:sz w:val="24"/>
          <w:szCs w:val="24"/>
        </w:rPr>
        <w:t xml:space="preserve"> NON ANCORA VACCINATI</w:t>
      </w:r>
      <w:r w:rsidR="00331A12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:rsidR="00115E64" w:rsidRPr="002C17CA" w:rsidRDefault="00065BEB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3 giugn</w:t>
      </w:r>
      <w:r w:rsidR="004A3A70">
        <w:rPr>
          <w:rFonts w:ascii="Calibri" w:eastAsia="Calibri" w:hAnsi="Calibri" w:cs="Times New Roman"/>
          <w:b/>
          <w:bCs/>
          <w:sz w:val="24"/>
          <w:szCs w:val="24"/>
        </w:rPr>
        <w:t>o</w:t>
      </w:r>
      <w:r w:rsidR="002A6ACD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2C17CA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B97D3A" w:rsidRPr="00B97D3A" w:rsidRDefault="00B97D3A" w:rsidP="00B97D3A">
      <w:pPr>
        <w:spacing w:line="276" w:lineRule="auto"/>
        <w:jc w:val="both"/>
        <w:rPr>
          <w:color w:val="FF0000"/>
        </w:rPr>
      </w:pPr>
      <w:r w:rsidRPr="00B97D3A">
        <w:rPr>
          <w:rFonts w:ascii="Calibri" w:eastAsia="Times New Roman" w:hAnsi="Calibri" w:cs="Calibri"/>
          <w:lang w:eastAsia="it-IT"/>
        </w:rPr>
        <w:t>Il monitoraggio indipendente della Fondazione GIMBE rileva nella settimana 26 maggio-1 giugno 2021, rispetto alla precedente, un</w:t>
      </w:r>
      <w:r w:rsidR="00DC093F">
        <w:rPr>
          <w:rFonts w:ascii="Calibri" w:eastAsia="Times New Roman" w:hAnsi="Calibri" w:cs="Calibri"/>
          <w:lang w:eastAsia="it-IT"/>
        </w:rPr>
        <w:t>’ulteriore</w:t>
      </w:r>
      <w:r w:rsidRPr="00B97D3A">
        <w:rPr>
          <w:rFonts w:ascii="Calibri" w:eastAsia="Times New Roman" w:hAnsi="Calibri" w:cs="Calibri"/>
          <w:lang w:eastAsia="it-IT"/>
        </w:rPr>
        <w:t xml:space="preserve"> diminuzione di nuovi casi (22.412 vs 30.867) (</w:t>
      </w:r>
      <w:r w:rsidRPr="00103368">
        <w:rPr>
          <w:rFonts w:ascii="Calibri" w:eastAsia="Times New Roman" w:hAnsi="Calibri" w:cs="Calibri"/>
          <w:highlight w:val="yellow"/>
          <w:lang w:eastAsia="it-IT"/>
        </w:rPr>
        <w:t>figura 1</w:t>
      </w:r>
      <w:r w:rsidRPr="00B97D3A">
        <w:rPr>
          <w:rFonts w:ascii="Calibri" w:eastAsia="Times New Roman" w:hAnsi="Calibri" w:cs="Calibri"/>
          <w:lang w:eastAsia="it-IT"/>
        </w:rPr>
        <w:t>) e decessi (720 vs 1.004) (</w:t>
      </w:r>
      <w:r w:rsidRPr="00103368">
        <w:rPr>
          <w:rFonts w:ascii="Calibri" w:eastAsia="Times New Roman" w:hAnsi="Calibri" w:cs="Calibri"/>
          <w:highlight w:val="yellow"/>
          <w:lang w:eastAsia="it-IT"/>
        </w:rPr>
        <w:t>figura 2</w:t>
      </w:r>
      <w:r w:rsidRPr="00B97D3A">
        <w:rPr>
          <w:rFonts w:ascii="Calibri" w:eastAsia="Times New Roman" w:hAnsi="Calibri" w:cs="Calibri"/>
          <w:lang w:eastAsia="it-IT"/>
        </w:rPr>
        <w:t xml:space="preserve">). In </w:t>
      </w:r>
      <w:r w:rsidR="00402BB9">
        <w:rPr>
          <w:rFonts w:ascii="Calibri" w:eastAsia="Times New Roman" w:hAnsi="Calibri" w:cs="Calibri"/>
          <w:lang w:eastAsia="it-IT"/>
        </w:rPr>
        <w:t xml:space="preserve">netto </w:t>
      </w:r>
      <w:r w:rsidRPr="00B97D3A">
        <w:rPr>
          <w:rFonts w:ascii="Calibri" w:eastAsia="Times New Roman" w:hAnsi="Calibri" w:cs="Calibri"/>
          <w:lang w:eastAsia="it-IT"/>
        </w:rPr>
        <w:t>calo anche i casi attualmente positivi (225.751 vs 268.145), le persone in isolamento domiciliare (218.570 vs 258.265), i ricoveri con sintomi (6.192 vs 8.557) e le terapie intensive (989 vs 1.323) (</w:t>
      </w:r>
      <w:r w:rsidRPr="00103368">
        <w:rPr>
          <w:rFonts w:ascii="Calibri" w:eastAsia="Times New Roman" w:hAnsi="Calibri" w:cs="Calibri"/>
          <w:highlight w:val="yellow"/>
          <w:lang w:eastAsia="it-IT"/>
        </w:rPr>
        <w:t>figura 3</w:t>
      </w:r>
      <w:r w:rsidRPr="00B97D3A">
        <w:rPr>
          <w:rFonts w:ascii="Calibri" w:eastAsia="Times New Roman" w:hAnsi="Calibri" w:cs="Calibri"/>
          <w:lang w:eastAsia="it-IT"/>
        </w:rPr>
        <w:t>). In dettaglio, rispetto alla settimana precedente, si registrano le segu</w:t>
      </w:r>
      <w:r>
        <w:rPr>
          <w:rFonts w:ascii="Calibri" w:eastAsia="Times New Roman" w:hAnsi="Calibri" w:cs="Calibri"/>
          <w:lang w:eastAsia="it-IT"/>
        </w:rPr>
        <w:t>enti variazioni:</w:t>
      </w:r>
    </w:p>
    <w:p w:rsidR="00B97D3A" w:rsidRPr="00B97D3A" w:rsidRDefault="00B97D3A" w:rsidP="00B97D3A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B97D3A">
        <w:t>Decessi: 720 (-28,3%)</w:t>
      </w:r>
    </w:p>
    <w:p w:rsidR="00B97D3A" w:rsidRPr="00B97D3A" w:rsidRDefault="00B97D3A" w:rsidP="00B97D3A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B97D3A">
        <w:t>Terapia intensiva: -334 (-25,2%)</w:t>
      </w:r>
    </w:p>
    <w:p w:rsidR="00B97D3A" w:rsidRPr="00B97D3A" w:rsidRDefault="00B97D3A" w:rsidP="00B97D3A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B97D3A">
        <w:t>Ricoverati con sintomi: -2.365 (-27,6%)</w:t>
      </w:r>
    </w:p>
    <w:p w:rsidR="00B97D3A" w:rsidRPr="00B97D3A" w:rsidRDefault="00B97D3A" w:rsidP="00B97D3A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B97D3A">
        <w:t>Isolamento domiciliare: -39.695 (-15,4%)</w:t>
      </w:r>
    </w:p>
    <w:p w:rsidR="00B97D3A" w:rsidRPr="00B97D3A" w:rsidRDefault="00B97D3A" w:rsidP="00B97D3A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B97D3A">
        <w:t>Nuovi casi: 22.412 (-27,4%)</w:t>
      </w:r>
    </w:p>
    <w:p w:rsidR="00B97D3A" w:rsidRPr="00B97D3A" w:rsidRDefault="00B97D3A" w:rsidP="00B97D3A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B97D3A">
        <w:t>Casi attualmente positivi: -42.394 (-15,8%)</w:t>
      </w:r>
    </w:p>
    <w:p w:rsidR="001F20BA" w:rsidRDefault="00513592" w:rsidP="00B97D3A">
      <w:pPr>
        <w:spacing w:line="276" w:lineRule="auto"/>
        <w:jc w:val="both"/>
      </w:pPr>
      <w:r w:rsidRPr="00B97D3A">
        <w:t>«Da 11 settimane consecutive – dichiara Nino Cartabellotta</w:t>
      </w:r>
      <w:r w:rsidRPr="00716646">
        <w:t xml:space="preserve">, Presidente della Fondazione GIMBE – </w:t>
      </w:r>
      <w:r>
        <w:t xml:space="preserve">si conferma il trend in discesa dei nuovi casi, </w:t>
      </w:r>
      <w:r w:rsidR="00121FED">
        <w:t>sia</w:t>
      </w:r>
      <w:r>
        <w:t xml:space="preserve"> per la ridotta circolazione del virus, come dimostra la riduzione del rapporto </w:t>
      </w:r>
      <w:r w:rsidR="00123DC8">
        <w:t>positivi</w:t>
      </w:r>
      <w:r>
        <w:t>/casi testati</w:t>
      </w:r>
      <w:r w:rsidRPr="00B264E9">
        <w:t>,</w:t>
      </w:r>
      <w:r w:rsidR="00123DC8">
        <w:t xml:space="preserve"> </w:t>
      </w:r>
      <w:r w:rsidR="00121FED">
        <w:t>sia</w:t>
      </w:r>
      <w:r>
        <w:t xml:space="preserve"> per la diminuzione</w:t>
      </w:r>
      <w:r w:rsidRPr="00B264E9">
        <w:t xml:space="preserve"> dell’attività di testing</w:t>
      </w:r>
      <w:r w:rsidR="00DC093F">
        <w:t xml:space="preserve">. Da metà aprile sono in costante calo anche i decessi, che nell’ultima settimana si attestano </w:t>
      </w:r>
      <w:r w:rsidR="00363B58">
        <w:t xml:space="preserve">in media </w:t>
      </w:r>
      <w:r w:rsidR="00DC093F">
        <w:t>poco sopra i 100 al giorno</w:t>
      </w:r>
      <w:r w:rsidRPr="00B264E9">
        <w:t>».</w:t>
      </w:r>
      <w:r w:rsidR="00123DC8">
        <w:t xml:space="preserve"> </w:t>
      </w:r>
      <w:r w:rsidR="00F93448">
        <w:t>Il calo</w:t>
      </w:r>
      <w:r w:rsidR="007E12D3">
        <w:t xml:space="preserve"> dei nuovi casi settimanali si conferma </w:t>
      </w:r>
      <w:r w:rsidR="00F643B2">
        <w:t xml:space="preserve">in tutte le Regioni, </w:t>
      </w:r>
      <w:r w:rsidR="00F643B2" w:rsidRPr="00F643B2">
        <w:t xml:space="preserve">ad eccezione di un aumento </w:t>
      </w:r>
      <w:r w:rsidR="003760AF">
        <w:t xml:space="preserve">percentuale </w:t>
      </w:r>
      <w:r w:rsidR="00F643B2" w:rsidRPr="00F643B2">
        <w:t xml:space="preserve">in Molise, irrilevante in </w:t>
      </w:r>
      <w:r w:rsidR="00F643B2">
        <w:t>valore assoluto</w:t>
      </w:r>
      <w:r w:rsidR="00F643B2" w:rsidRPr="00F643B2">
        <w:t>.</w:t>
      </w:r>
      <w:r w:rsidR="00123DC8">
        <w:t xml:space="preserve"> </w:t>
      </w:r>
      <w:r w:rsidR="006A5072" w:rsidRPr="00716646">
        <w:t>(</w:t>
      </w:r>
      <w:r w:rsidR="006A5072" w:rsidRPr="00B97D3A">
        <w:rPr>
          <w:highlight w:val="yellow"/>
        </w:rPr>
        <w:t>tabella</w:t>
      </w:r>
      <w:r w:rsidR="006A5072" w:rsidRPr="00716646">
        <w:t>).</w:t>
      </w:r>
    </w:p>
    <w:p w:rsidR="00513592" w:rsidRDefault="00513592" w:rsidP="0021553C">
      <w:pPr>
        <w:spacing w:before="240" w:line="276" w:lineRule="auto"/>
        <w:jc w:val="both"/>
      </w:pPr>
      <w:r w:rsidRPr="00716646">
        <w:t>«</w:t>
      </w:r>
      <w:r>
        <w:t>Grazie alle coperture vaccinali d</w:t>
      </w:r>
      <w:r w:rsidR="00D46C5C">
        <w:t xml:space="preserve">i anziani e fragili </w:t>
      </w:r>
      <w:r w:rsidRPr="00716646">
        <w:t xml:space="preserve">– afferma Renata Gili, responsabile Ricerca sui Servizi </w:t>
      </w:r>
      <w:r w:rsidRPr="00E32853">
        <w:t>Sanitari della Fondazione GIMBE – continua</w:t>
      </w:r>
      <w:r w:rsidR="009E6C0C">
        <w:t xml:space="preserve"> il progressivo svuotamento degli ospedali</w:t>
      </w:r>
      <w:r w:rsidR="00402BB9">
        <w:t>.</w:t>
      </w:r>
      <w:r w:rsidR="00E84813">
        <w:t xml:space="preserve"> </w:t>
      </w:r>
      <w:r w:rsidR="00331A12">
        <w:t>L’</w:t>
      </w:r>
      <w:r w:rsidR="009E6C0C">
        <w:t xml:space="preserve">occupazione dei posti letto </w:t>
      </w:r>
      <w:r w:rsidR="00D46C5C" w:rsidRPr="00E32853">
        <w:t xml:space="preserve">COVID </w:t>
      </w:r>
      <w:r w:rsidR="00331A12">
        <w:t xml:space="preserve">a livello nazionale </w:t>
      </w:r>
      <w:r w:rsidR="009E6C0C">
        <w:t xml:space="preserve">si attesta </w:t>
      </w:r>
      <w:r w:rsidR="00D46C5C" w:rsidRPr="00E32853">
        <w:t xml:space="preserve">al 10% </w:t>
      </w:r>
      <w:r w:rsidR="009E6C0C">
        <w:t xml:space="preserve">in area medica </w:t>
      </w:r>
      <w:r w:rsidR="00D46C5C" w:rsidRPr="00E32853">
        <w:t xml:space="preserve">e </w:t>
      </w:r>
      <w:r w:rsidR="00D24D66" w:rsidRPr="00E32853">
        <w:t>a</w:t>
      </w:r>
      <w:r w:rsidR="00D24D66">
        <w:t>ll’</w:t>
      </w:r>
      <w:r w:rsidR="00D46C5C" w:rsidRPr="00E32853">
        <w:t>11%</w:t>
      </w:r>
      <w:r w:rsidR="009E6C0C">
        <w:t xml:space="preserve"> in terapia intensiva</w:t>
      </w:r>
      <w:r w:rsidR="00D46C5C" w:rsidRPr="00E32853">
        <w:t>, con tutte le Regi</w:t>
      </w:r>
      <w:r w:rsidR="00D46C5C">
        <w:t>oni sotto le soglie di allerta</w:t>
      </w:r>
      <w:r w:rsidRPr="00E32853">
        <w:t>». In dettaglio</w:t>
      </w:r>
      <w:r w:rsidR="00322B74">
        <w:t>,</w:t>
      </w:r>
      <w:r w:rsidRPr="00E32853">
        <w:t xml:space="preserve"> dal picco del 6 aprile i posti letto occupati in area medica </w:t>
      </w:r>
      <w:r w:rsidRPr="001457AC">
        <w:t xml:space="preserve">sono scesi da 29.337 a </w:t>
      </w:r>
      <w:r w:rsidR="007767A6">
        <w:t>6.192</w:t>
      </w:r>
      <w:r w:rsidRPr="001457AC">
        <w:t xml:space="preserve"> (-</w:t>
      </w:r>
      <w:r w:rsidR="007767A6">
        <w:t>78,9</w:t>
      </w:r>
      <w:r w:rsidR="009E6C0C">
        <w:t>%)</w:t>
      </w:r>
      <w:r w:rsidRPr="001457AC">
        <w:t xml:space="preserve"> e quelli in terapia intensiva da 3.743 a </w:t>
      </w:r>
      <w:r w:rsidR="007767A6">
        <w:t>989</w:t>
      </w:r>
      <w:r w:rsidRPr="001457AC">
        <w:t xml:space="preserve"> (-</w:t>
      </w:r>
      <w:r w:rsidR="007767A6">
        <w:t>73,6</w:t>
      </w:r>
      <w:r w:rsidRPr="001457AC">
        <w:t>%)</w:t>
      </w:r>
      <w:r w:rsidR="000A5004">
        <w:t xml:space="preserve">. Scende meno rapidamente la curva delle </w:t>
      </w:r>
      <w:r w:rsidRPr="001457AC">
        <w:t>persone in isolamento domiciliare</w:t>
      </w:r>
      <w:r w:rsidR="000A5004">
        <w:t>:</w:t>
      </w:r>
      <w:r w:rsidRPr="001457AC">
        <w:t xml:space="preserve"> dal picco del 28 marzo </w:t>
      </w:r>
      <w:r w:rsidR="000A5004">
        <w:t xml:space="preserve">si sono ridotte </w:t>
      </w:r>
      <w:r w:rsidR="00785B2B">
        <w:t xml:space="preserve">da </w:t>
      </w:r>
      <w:r w:rsidRPr="001457AC">
        <w:t xml:space="preserve">540.855 a </w:t>
      </w:r>
      <w:r w:rsidR="007767A6">
        <w:t>218.570</w:t>
      </w:r>
      <w:r w:rsidRPr="001457AC">
        <w:t xml:space="preserve"> (-</w:t>
      </w:r>
      <w:r w:rsidR="007767A6">
        <w:t>59,6</w:t>
      </w:r>
      <w:r w:rsidRPr="001457AC">
        <w:t>%)</w:t>
      </w:r>
      <w:r w:rsidR="00E84813">
        <w:t xml:space="preserve"> </w:t>
      </w:r>
      <w:r>
        <w:t>(</w:t>
      </w:r>
      <w:r w:rsidRPr="003C6451">
        <w:rPr>
          <w:highlight w:val="yellow"/>
        </w:rPr>
        <w:t>figura 3</w:t>
      </w:r>
      <w:r w:rsidRPr="00B97D3A">
        <w:t>). «</w:t>
      </w:r>
      <w:r w:rsidR="000A5004">
        <w:t>Gli</w:t>
      </w:r>
      <w:r w:rsidRPr="00B97D3A">
        <w:t xml:space="preserve"> ingressi in terapia intensiva</w:t>
      </w:r>
      <w:r w:rsidR="00E84813">
        <w:t xml:space="preserve"> </w:t>
      </w:r>
      <w:r w:rsidRPr="00B97D3A">
        <w:t xml:space="preserve">– spiega Marco Mosti, Direttore Operativo della Fondazione GIMBE – </w:t>
      </w:r>
      <w:r w:rsidR="000A5004">
        <w:t xml:space="preserve">scendono da 9 settimane con una </w:t>
      </w:r>
      <w:r w:rsidRPr="00B97D3A">
        <w:t xml:space="preserve">media mobile a 7 giorni </w:t>
      </w:r>
      <w:r w:rsidR="0032526F" w:rsidRPr="00B97D3A">
        <w:t>che</w:t>
      </w:r>
      <w:r w:rsidR="00E84813">
        <w:t xml:space="preserve"> </w:t>
      </w:r>
      <w:r w:rsidRPr="00B97D3A">
        <w:t xml:space="preserve">si attesta a </w:t>
      </w:r>
      <w:r w:rsidR="00B97D3A" w:rsidRPr="00B97D3A">
        <w:t>36</w:t>
      </w:r>
      <w:r w:rsidRPr="00B97D3A">
        <w:t xml:space="preserve"> ingressi</w:t>
      </w:r>
      <w:r w:rsidRPr="00AA05A9">
        <w:t>/die» (</w:t>
      </w:r>
      <w:r w:rsidRPr="00571F4A">
        <w:rPr>
          <w:highlight w:val="yellow"/>
        </w:rPr>
        <w:t>figura 4</w:t>
      </w:r>
      <w:r w:rsidRPr="00AA05A9">
        <w:t>).</w:t>
      </w:r>
    </w:p>
    <w:p w:rsidR="00F845B1" w:rsidRDefault="00513592" w:rsidP="0021553C">
      <w:pPr>
        <w:spacing w:line="276" w:lineRule="auto"/>
        <w:jc w:val="both"/>
      </w:pPr>
      <w:r>
        <w:lastRenderedPageBreak/>
        <w:t xml:space="preserve">In questa fase di </w:t>
      </w:r>
      <w:r w:rsidR="00B0776F">
        <w:t xml:space="preserve">diminuita </w:t>
      </w:r>
      <w:r>
        <w:t xml:space="preserve">circolazione del virus e </w:t>
      </w:r>
      <w:r w:rsidR="00C544A9">
        <w:t>allentamento della pressione su</w:t>
      </w:r>
      <w:r>
        <w:t xml:space="preserve">gli ospedali </w:t>
      </w:r>
      <w:r w:rsidR="00D46C5C">
        <w:t>si rilevano</w:t>
      </w:r>
      <w:r w:rsidR="00E84813">
        <w:t xml:space="preserve"> </w:t>
      </w:r>
      <w:r w:rsidR="002C7E52">
        <w:t>d</w:t>
      </w:r>
      <w:r w:rsidR="00BA1326">
        <w:t>ue criticità</w:t>
      </w:r>
      <w:r w:rsidR="00507B8B">
        <w:t xml:space="preserve">: </w:t>
      </w:r>
      <w:r w:rsidR="00BA1326">
        <w:t>d</w:t>
      </w:r>
      <w:r w:rsidR="00F845B1">
        <w:t>a un lato la riduzione dell’attività di testing</w:t>
      </w:r>
      <w:r w:rsidR="00E84813">
        <w:t xml:space="preserve"> </w:t>
      </w:r>
      <w:r w:rsidR="00EF4803">
        <w:t xml:space="preserve">che </w:t>
      </w:r>
      <w:r w:rsidR="000111EE">
        <w:t xml:space="preserve">attesta </w:t>
      </w:r>
      <w:r w:rsidR="00B46602">
        <w:t xml:space="preserve">la </w:t>
      </w:r>
      <w:r w:rsidR="002C7E52">
        <w:t>rinuncia al</w:t>
      </w:r>
      <w:r w:rsidR="00B0776F">
        <w:t xml:space="preserve"> tracciamento dei casi,</w:t>
      </w:r>
      <w:r w:rsidR="00DB097D">
        <w:t xml:space="preserve"> dall’altro</w:t>
      </w:r>
      <w:r w:rsidR="00E84813">
        <w:t xml:space="preserve"> </w:t>
      </w:r>
      <w:r w:rsidR="00EF4803">
        <w:t>un</w:t>
      </w:r>
      <w:r w:rsidR="00A11BB8">
        <w:t>a rilevante eterogeneità regionale nell</w:t>
      </w:r>
      <w:r w:rsidR="00EF4803">
        <w:t>’attività di</w:t>
      </w:r>
      <w:r w:rsidR="00DB097D">
        <w:t xml:space="preserve"> sequenziamento</w:t>
      </w:r>
      <w:r w:rsidR="00DB097D" w:rsidRPr="00B264E9">
        <w:t>.</w:t>
      </w:r>
      <w:r w:rsidR="006B5BE1">
        <w:t xml:space="preserve"> In </w:t>
      </w:r>
      <w:r>
        <w:t>dettaglio</w:t>
      </w:r>
      <w:r w:rsidR="006B5BE1">
        <w:t>:</w:t>
      </w:r>
    </w:p>
    <w:p w:rsidR="00B0776F" w:rsidRDefault="006B5BE1" w:rsidP="00121FED">
      <w:pPr>
        <w:pStyle w:val="Paragrafoelenco"/>
        <w:numPr>
          <w:ilvl w:val="0"/>
          <w:numId w:val="36"/>
        </w:numPr>
        <w:spacing w:line="276" w:lineRule="auto"/>
        <w:jc w:val="both"/>
      </w:pPr>
      <w:r w:rsidRPr="002B3F5C">
        <w:rPr>
          <w:b/>
        </w:rPr>
        <w:t>Testing</w:t>
      </w:r>
      <w:r>
        <w:t xml:space="preserve">: </w:t>
      </w:r>
      <w:r w:rsidR="003C6451">
        <w:t>il numero di persone testate</w:t>
      </w:r>
      <w:r w:rsidR="00B46602">
        <w:t xml:space="preserve"> settimanalmente</w:t>
      </w:r>
      <w:r w:rsidR="003C6451">
        <w:t>, stabile sino a</w:t>
      </w:r>
      <w:r w:rsidR="000A5004">
        <w:t>lla prima decade di maggio</w:t>
      </w:r>
      <w:r w:rsidR="003C6451">
        <w:t xml:space="preserve">, si è ridotto </w:t>
      </w:r>
      <w:r w:rsidR="00EC72CF">
        <w:t>ne</w:t>
      </w:r>
      <w:r w:rsidR="00F574F3">
        <w:t xml:space="preserve">lle ultime 3 settimane </w:t>
      </w:r>
      <w:r w:rsidR="003C6451">
        <w:t>da 662.549 a 439.467</w:t>
      </w:r>
      <w:r w:rsidR="00E84813">
        <w:t xml:space="preserve"> </w:t>
      </w:r>
      <w:r w:rsidR="00ED442E">
        <w:t>(-33,7%)</w:t>
      </w:r>
      <w:r w:rsidR="00E84813">
        <w:t xml:space="preserve"> </w:t>
      </w:r>
      <w:r w:rsidR="00B97D3A">
        <w:t>(</w:t>
      </w:r>
      <w:r w:rsidR="00B97D3A" w:rsidRPr="003C6451">
        <w:rPr>
          <w:highlight w:val="yellow"/>
        </w:rPr>
        <w:t>figura 5</w:t>
      </w:r>
      <w:r w:rsidR="00B97D3A">
        <w:t>)</w:t>
      </w:r>
      <w:r w:rsidR="000A5004">
        <w:t xml:space="preserve">. </w:t>
      </w:r>
      <w:r w:rsidR="00F574F3">
        <w:t xml:space="preserve">E nello stesso periodo </w:t>
      </w:r>
      <w:r w:rsidR="000A5004">
        <w:t xml:space="preserve">sono state </w:t>
      </w:r>
      <w:r w:rsidR="00F643B2">
        <w:t xml:space="preserve">testate, con tampone </w:t>
      </w:r>
      <w:r w:rsidR="000A5004">
        <w:t>molecolare o antigenico</w:t>
      </w:r>
      <w:r w:rsidR="00F643B2">
        <w:t>,</w:t>
      </w:r>
      <w:r w:rsidR="000A5004">
        <w:t xml:space="preserve"> in </w:t>
      </w:r>
      <w:r w:rsidR="009715AB">
        <w:t xml:space="preserve">media </w:t>
      </w:r>
      <w:r w:rsidR="002C6AF3" w:rsidRPr="002C6AF3">
        <w:t>120</w:t>
      </w:r>
      <w:r w:rsidR="00E84813">
        <w:t xml:space="preserve"> </w:t>
      </w:r>
      <w:r w:rsidR="009715AB">
        <w:t>persone</w:t>
      </w:r>
      <w:r w:rsidR="001D4D32">
        <w:t>/die</w:t>
      </w:r>
      <w:r w:rsidR="00E84813">
        <w:t xml:space="preserve"> </w:t>
      </w:r>
      <w:r w:rsidR="001D4D32">
        <w:t>per 100.000</w:t>
      </w:r>
      <w:r w:rsidR="00E84813">
        <w:t xml:space="preserve"> </w:t>
      </w:r>
      <w:r w:rsidR="001D4D32">
        <w:t>abitanti</w:t>
      </w:r>
      <w:r w:rsidR="00E84813">
        <w:t xml:space="preserve"> </w:t>
      </w:r>
      <w:r w:rsidR="000A5004">
        <w:t xml:space="preserve">con nette </w:t>
      </w:r>
      <w:r w:rsidR="009715AB">
        <w:t>differenze regionali</w:t>
      </w:r>
      <w:r w:rsidR="00ED442E">
        <w:t>:</w:t>
      </w:r>
      <w:r w:rsidR="0021553C">
        <w:t xml:space="preserve"> da 199 del Lazio a 49 della Puglia</w:t>
      </w:r>
      <w:r w:rsidR="00B97D3A">
        <w:t xml:space="preserve"> (</w:t>
      </w:r>
      <w:r w:rsidR="00B97D3A" w:rsidRPr="00B97D3A">
        <w:rPr>
          <w:highlight w:val="yellow"/>
        </w:rPr>
        <w:t>figura 6</w:t>
      </w:r>
      <w:r w:rsidR="00B97D3A">
        <w:t>)</w:t>
      </w:r>
      <w:r>
        <w:t>.</w:t>
      </w:r>
      <w:r w:rsidR="00E84813">
        <w:t xml:space="preserve"> </w:t>
      </w:r>
      <w:r w:rsidR="00507B8B" w:rsidRPr="00716646">
        <w:t>«</w:t>
      </w:r>
      <w:r w:rsidR="00FD378E">
        <w:t xml:space="preserve">Purtroppo </w:t>
      </w:r>
      <w:r w:rsidR="00507B8B">
        <w:t>–</w:t>
      </w:r>
      <w:r w:rsidR="00FD378E">
        <w:t xml:space="preserve"> spiega </w:t>
      </w:r>
      <w:r w:rsidR="00507B8B">
        <w:t xml:space="preserve">Cartabellotta – </w:t>
      </w:r>
      <w:r w:rsidR="00FD378E">
        <w:t>i criteri per conquistare e mantenere la zona bianca</w:t>
      </w:r>
      <w:r w:rsidR="000111EE">
        <w:t xml:space="preserve">, introdotti con il DL </w:t>
      </w:r>
      <w:r w:rsidR="000111EE" w:rsidRPr="000111EE">
        <w:t>18 maggio 2021 n. 65</w:t>
      </w:r>
      <w:r w:rsidR="000111EE">
        <w:t>,</w:t>
      </w:r>
      <w:r w:rsidR="00E84813">
        <w:t xml:space="preserve"> </w:t>
      </w:r>
      <w:r w:rsidR="0083747F">
        <w:t>disincentivano le Regioni a potenziare</w:t>
      </w:r>
      <w:r w:rsidR="00507B8B">
        <w:t xml:space="preserve"> le attività di </w:t>
      </w:r>
      <w:r w:rsidR="00507B8B" w:rsidRPr="00207E61">
        <w:t>testing</w:t>
      </w:r>
      <w:r w:rsidR="00E84813">
        <w:t xml:space="preserve"> </w:t>
      </w:r>
      <w:r w:rsidR="0083747F">
        <w:t>e a riprendere il tracciamento</w:t>
      </w:r>
      <w:r w:rsidR="00507B8B">
        <w:t xml:space="preserve">, </w:t>
      </w:r>
      <w:r w:rsidR="004A141C">
        <w:t xml:space="preserve">proprio </w:t>
      </w:r>
      <w:r w:rsidR="000111EE">
        <w:t xml:space="preserve">nel momento in cui </w:t>
      </w:r>
      <w:r w:rsidR="004A141C">
        <w:t xml:space="preserve">i numeri del contagio </w:t>
      </w:r>
      <w:r w:rsidR="003C6451">
        <w:t>permetterebbero</w:t>
      </w:r>
      <w:r w:rsidR="000A5004">
        <w:t xml:space="preserve"> di utilizzare un’arma mai adeguatamente utilizzata</w:t>
      </w:r>
      <w:r w:rsidR="00507B8B" w:rsidRPr="00B264E9">
        <w:t>».</w:t>
      </w:r>
    </w:p>
    <w:p w:rsidR="003741A1" w:rsidRDefault="00507B8B" w:rsidP="00B0776F">
      <w:pPr>
        <w:pStyle w:val="Paragrafoelenco"/>
        <w:numPr>
          <w:ilvl w:val="0"/>
          <w:numId w:val="36"/>
        </w:numPr>
        <w:spacing w:line="276" w:lineRule="auto"/>
        <w:jc w:val="both"/>
      </w:pPr>
      <w:r w:rsidRPr="005B7CDC">
        <w:rPr>
          <w:b/>
        </w:rPr>
        <w:t>Sequenziamento</w:t>
      </w:r>
      <w:r>
        <w:t xml:space="preserve">: </w:t>
      </w:r>
      <w:r w:rsidR="0021553C">
        <w:t xml:space="preserve">nel bollettino </w:t>
      </w:r>
      <w:hyperlink r:id="rId8" w:history="1">
        <w:r w:rsidR="0021553C" w:rsidRPr="00FD5DBF">
          <w:rPr>
            <w:rStyle w:val="Collegamentoipertestuale"/>
          </w:rPr>
          <w:t>Prevalenza e distribuzione delle varianti del virus SARS-CoV-2 di interesse per la sanità pubblica in Italia</w:t>
        </w:r>
      </w:hyperlink>
      <w:r w:rsidR="00AD2F30">
        <w:t>,</w:t>
      </w:r>
      <w:r w:rsidR="00E84813">
        <w:t xml:space="preserve"> </w:t>
      </w:r>
      <w:r w:rsidR="0021553C" w:rsidRPr="00FD5DBF">
        <w:t>l’Istituto Superiore di Sanità</w:t>
      </w:r>
      <w:r w:rsidR="0021553C">
        <w:t xml:space="preserve"> riporta che nel periodo 28 dicembre 2020</w:t>
      </w:r>
      <w:r w:rsidR="00FF0C93">
        <w:t>-</w:t>
      </w:r>
      <w:r w:rsidR="0021553C">
        <w:t>19 maggio 2021 è stato sequenziato l’1,11% (</w:t>
      </w:r>
      <w:r w:rsidR="00AD2F30">
        <w:t xml:space="preserve">n. </w:t>
      </w:r>
      <w:r w:rsidR="0021553C" w:rsidRPr="00782C26">
        <w:t>23.170</w:t>
      </w:r>
      <w:r w:rsidR="0021553C">
        <w:t xml:space="preserve">) dei casi positivi. </w:t>
      </w:r>
      <w:r w:rsidR="00DC23D7">
        <w:t>D</w:t>
      </w:r>
      <w:r w:rsidR="00FD378E">
        <w:t xml:space="preserve">a </w:t>
      </w:r>
      <w:r w:rsidR="0021553C">
        <w:t>febbraio</w:t>
      </w:r>
      <w:r w:rsidR="000A5004">
        <w:t xml:space="preserve"> 2021</w:t>
      </w:r>
      <w:r w:rsidR="00E84813">
        <w:t xml:space="preserve"> </w:t>
      </w:r>
      <w:r w:rsidR="00DC23D7">
        <w:t>vengono sequenziati oltre</w:t>
      </w:r>
      <w:r w:rsidR="0021553C">
        <w:t xml:space="preserve"> 1.000 </w:t>
      </w:r>
      <w:r w:rsidR="00DC23D7">
        <w:t xml:space="preserve">casi </w:t>
      </w:r>
      <w:r w:rsidR="0021553C">
        <w:t>settimana</w:t>
      </w:r>
      <w:r w:rsidR="00DC23D7">
        <w:t>li</w:t>
      </w:r>
      <w:r w:rsidR="0021553C">
        <w:t xml:space="preserve">, in linea con </w:t>
      </w:r>
      <w:r w:rsidR="00DC23D7">
        <w:t xml:space="preserve">gli standard </w:t>
      </w:r>
      <w:r w:rsidR="00CC7CD3">
        <w:t>dell’</w:t>
      </w:r>
      <w:hyperlink r:id="rId9" w:history="1">
        <w:r w:rsidR="00CC7CD3" w:rsidRPr="00CC7CD3">
          <w:rPr>
            <w:rStyle w:val="Collegamentoipertestuale"/>
            <w:i/>
          </w:rPr>
          <w:t>European Centre for Disease and Control</w:t>
        </w:r>
      </w:hyperlink>
      <w:r w:rsidR="00FF0C93">
        <w:t xml:space="preserve">, </w:t>
      </w:r>
      <w:r w:rsidR="00CE3D9F">
        <w:t xml:space="preserve">seppure </w:t>
      </w:r>
      <w:r w:rsidR="00FF0C93">
        <w:t xml:space="preserve">con </w:t>
      </w:r>
      <w:r w:rsidR="00AD2F30">
        <w:t>performance regionali molto eterogenee</w:t>
      </w:r>
      <w:r w:rsidR="001A6CCF">
        <w:t xml:space="preserve">: </w:t>
      </w:r>
      <w:r w:rsidR="00CC7CD3">
        <w:t>d</w:t>
      </w:r>
      <w:r w:rsidR="0021553C">
        <w:t>al 6,05% dell’Abruzzo allo 0,09% del Piemonte</w:t>
      </w:r>
      <w:r w:rsidR="00CC7CD3">
        <w:t>.</w:t>
      </w:r>
      <w:r w:rsidR="00E84813">
        <w:t xml:space="preserve"> </w:t>
      </w:r>
      <w:r w:rsidR="00207E61" w:rsidRPr="00716646">
        <w:t>«</w:t>
      </w:r>
      <w:r w:rsidR="00515DD0">
        <w:t xml:space="preserve">Un’insufficiente </w:t>
      </w:r>
      <w:r w:rsidR="00AD2F30">
        <w:t xml:space="preserve">attività di sequenziamento </w:t>
      </w:r>
      <w:r w:rsidR="00207E61">
        <w:t xml:space="preserve">– precisa Cartabellotta – </w:t>
      </w:r>
      <w:r w:rsidR="00CC7CD3">
        <w:t xml:space="preserve">non </w:t>
      </w:r>
      <w:r w:rsidR="00D23EAE">
        <w:t xml:space="preserve">consente </w:t>
      </w:r>
      <w:r w:rsidR="00CC7CD3">
        <w:t>di identificare le</w:t>
      </w:r>
      <w:r w:rsidR="00E84813">
        <w:t xml:space="preserve"> </w:t>
      </w:r>
      <w:r w:rsidR="00F45AF6">
        <w:t xml:space="preserve">varianti </w:t>
      </w:r>
      <w:r w:rsidR="004A4B2C">
        <w:t xml:space="preserve">più </w:t>
      </w:r>
      <w:r w:rsidR="00F45AF6" w:rsidRPr="00507B8B">
        <w:t>contagios</w:t>
      </w:r>
      <w:r w:rsidR="00F45AF6">
        <w:t>e</w:t>
      </w:r>
      <w:r w:rsidR="00E84813">
        <w:t xml:space="preserve"> </w:t>
      </w:r>
      <w:r w:rsidR="00CC7CD3">
        <w:t xml:space="preserve">se non </w:t>
      </w:r>
      <w:r w:rsidR="00F643B2">
        <w:t xml:space="preserve">dopo l’aumento dei </w:t>
      </w:r>
      <w:r w:rsidR="004A4B2C">
        <w:t>casi</w:t>
      </w:r>
      <w:r w:rsidR="00CC7CD3">
        <w:t xml:space="preserve">, né </w:t>
      </w:r>
      <w:r w:rsidR="00515DD0">
        <w:t>di</w:t>
      </w:r>
      <w:r w:rsidR="00F643B2">
        <w:t xml:space="preserve"> adeguare le strategie vaccinali</w:t>
      </w:r>
      <w:r w:rsidR="000A5004">
        <w:t xml:space="preserve"> se necessario</w:t>
      </w:r>
      <w:r w:rsidR="00515DD0">
        <w:t xml:space="preserve">. Ad esempio </w:t>
      </w:r>
      <w:r w:rsidR="000A5004">
        <w:t xml:space="preserve">sulla </w:t>
      </w:r>
      <w:r w:rsidR="00515DD0">
        <w:t xml:space="preserve">variante delta (indiana) più contagiosa del 20-60%, </w:t>
      </w:r>
      <w:r w:rsidR="001A1782">
        <w:t>l’</w:t>
      </w:r>
      <w:hyperlink r:id="rId10" w:history="1">
        <w:r w:rsidR="001A1782" w:rsidRPr="00492C3C">
          <w:rPr>
            <w:rStyle w:val="Collegamentoipertestuale"/>
          </w:rPr>
          <w:t>efficacia di una sola dose di vaccino sulla malattia sintomatica</w:t>
        </w:r>
      </w:hyperlink>
      <w:r w:rsidR="00E84813">
        <w:t xml:space="preserve"> </w:t>
      </w:r>
      <w:r w:rsidR="003B0601">
        <w:t>si attesta intorno al 33% sia per il vaccino Pfizer che AstraZeneca, mentre dopo il ciclo completo sale rispettivamente all’88% e al 60%</w:t>
      </w:r>
      <w:r w:rsidR="00207E61" w:rsidRPr="00B264E9">
        <w:t>»</w:t>
      </w:r>
      <w:r w:rsidR="003B0601">
        <w:t>.</w:t>
      </w:r>
    </w:p>
    <w:p w:rsidR="00A96778" w:rsidRPr="00BA17EF" w:rsidRDefault="008B1130" w:rsidP="00C30D9B">
      <w:pPr>
        <w:spacing w:after="0" w:line="276" w:lineRule="auto"/>
        <w:jc w:val="both"/>
      </w:pPr>
      <w:r w:rsidRPr="00BA17EF">
        <w:rPr>
          <w:b/>
        </w:rPr>
        <w:t>Vaccini: forniture</w:t>
      </w:r>
      <w:r w:rsidRPr="00BA17EF">
        <w:t xml:space="preserve">. </w:t>
      </w:r>
      <w:r w:rsidR="003D03C1" w:rsidRPr="00BA17EF">
        <w:t xml:space="preserve">Al </w:t>
      </w:r>
      <w:r w:rsidR="00683A5E" w:rsidRPr="00BA17EF">
        <w:t>2 giugn</w:t>
      </w:r>
      <w:r w:rsidR="00D32E45" w:rsidRPr="00BA17EF">
        <w:t>o</w:t>
      </w:r>
      <w:r w:rsidR="003D03C1" w:rsidRPr="00BA17EF">
        <w:t xml:space="preserve"> (aggiornamento ore </w:t>
      </w:r>
      <w:r w:rsidR="00706B0A" w:rsidRPr="00BA17EF">
        <w:t>6.08</w:t>
      </w:r>
      <w:r w:rsidR="003D03C1" w:rsidRPr="00BA17EF">
        <w:t xml:space="preserve">) risultano consegnate </w:t>
      </w:r>
      <w:r w:rsidR="00706B0A" w:rsidRPr="00BA17EF">
        <w:t xml:space="preserve">39.958.409 </w:t>
      </w:r>
      <w:r w:rsidR="006A2E8A" w:rsidRPr="00BA17EF">
        <w:t xml:space="preserve">dosi, </w:t>
      </w:r>
      <w:r w:rsidR="002A7BB3" w:rsidRPr="00BA17EF">
        <w:t>pari al</w:t>
      </w:r>
      <w:r w:rsidR="00BA17EF" w:rsidRPr="00BA17EF">
        <w:t>52,4</w:t>
      </w:r>
      <w:r w:rsidR="00231765" w:rsidRPr="00BA17EF">
        <w:t xml:space="preserve">% </w:t>
      </w:r>
      <w:r w:rsidR="006A2E8A" w:rsidRPr="00BA17EF">
        <w:t>di quelle</w:t>
      </w:r>
      <w:r w:rsidR="00231765" w:rsidRPr="00BA17EF">
        <w:t xml:space="preserve"> p</w:t>
      </w:r>
      <w:r w:rsidR="00AA62F8" w:rsidRPr="00BA17EF">
        <w:t>reviste per il 1° semestre 2021</w:t>
      </w:r>
      <w:r w:rsidR="003D03C1" w:rsidRPr="00BA17EF">
        <w:t>. In dettaglio</w:t>
      </w:r>
      <w:r w:rsidR="006B0B30" w:rsidRPr="00BA17EF">
        <w:t>:</w:t>
      </w:r>
    </w:p>
    <w:p w:rsidR="00A96778" w:rsidRPr="00A96778" w:rsidRDefault="00A96778" w:rsidP="00C30D9B">
      <w:pPr>
        <w:spacing w:after="0" w:line="276" w:lineRule="auto"/>
        <w:jc w:val="both"/>
        <w:rPr>
          <w:sz w:val="12"/>
          <w:szCs w:val="12"/>
        </w:rPr>
      </w:pPr>
    </w:p>
    <w:tbl>
      <w:tblPr>
        <w:tblW w:w="7753" w:type="dxa"/>
        <w:jc w:val="center"/>
        <w:tblCellMar>
          <w:left w:w="70" w:type="dxa"/>
          <w:right w:w="70" w:type="dxa"/>
        </w:tblCellMar>
        <w:tblLook w:val="04A0"/>
      </w:tblPr>
      <w:tblGrid>
        <w:gridCol w:w="1815"/>
        <w:gridCol w:w="1446"/>
        <w:gridCol w:w="2095"/>
        <w:gridCol w:w="2397"/>
      </w:tblGrid>
      <w:tr w:rsidR="00BA17EF" w:rsidRPr="00BA17EF" w:rsidTr="00BA17EF">
        <w:trPr>
          <w:trHeight w:val="300"/>
          <w:jc w:val="center"/>
        </w:trPr>
        <w:tc>
          <w:tcPr>
            <w:tcW w:w="7753" w:type="dxa"/>
            <w:gridSpan w:val="4"/>
            <w:tcBorders>
              <w:top w:val="nil"/>
              <w:left w:val="nil"/>
              <w:bottom w:val="single" w:sz="4" w:space="0" w:color="00457D"/>
              <w:right w:val="nil"/>
            </w:tcBorders>
            <w:shd w:val="clear" w:color="000000" w:fill="FFFFFF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  <w:t>Dosi di vaccini 1° semestre 2021</w:t>
            </w:r>
          </w:p>
        </w:tc>
      </w:tr>
      <w:tr w:rsidR="00BA17EF" w:rsidRPr="00BA17EF" w:rsidTr="00BA17EF">
        <w:trPr>
          <w:trHeight w:val="765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Vaccino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previste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consegnate</w:t>
            </w:r>
            <w:r w:rsidRPr="00BA17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previste)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single" w:sz="4" w:space="0" w:color="00457D"/>
            </w:tcBorders>
            <w:shd w:val="clear" w:color="000000" w:fill="003C7D"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 xml:space="preserve">Dosi somministrate </w:t>
            </w:r>
            <w:r w:rsidRPr="00BA17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consegnate)</w:t>
            </w:r>
          </w:p>
        </w:tc>
      </w:tr>
      <w:tr w:rsidR="00BA17EF" w:rsidRPr="00BA17EF" w:rsidTr="00BA17EF">
        <w:trPr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Pfizer/BioNTech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41.463.630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27.576.022 (66,5%)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24.238.751 (87,9%)</w:t>
            </w:r>
          </w:p>
        </w:tc>
      </w:tr>
      <w:tr w:rsidR="00BA17EF" w:rsidRPr="00BA17EF" w:rsidTr="00BA17EF">
        <w:trPr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Moderna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5.980.000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3.735.557 (62,5%)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3.296.002 (88,2%)</w:t>
            </w:r>
          </w:p>
        </w:tc>
      </w:tr>
      <w:tr w:rsidR="00BA17EF" w:rsidRPr="00BA17EF" w:rsidTr="00BA17EF">
        <w:trPr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AstraZeneca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14.158.500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7.420.580 (52,4%)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7.189.869 (96,9%)</w:t>
            </w:r>
          </w:p>
        </w:tc>
      </w:tr>
      <w:tr w:rsidR="00BA17EF" w:rsidRPr="00BA17EF" w:rsidTr="00BA17EF">
        <w:trPr>
          <w:trHeight w:val="300"/>
          <w:jc w:val="center"/>
        </w:trPr>
        <w:tc>
          <w:tcPr>
            <w:tcW w:w="181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Johnson &amp; Johnson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7.307.292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1.226.250 (16,8%)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711.231 (58,0%)</w:t>
            </w:r>
          </w:p>
        </w:tc>
      </w:tr>
      <w:tr w:rsidR="00BA17EF" w:rsidRPr="00BA17EF" w:rsidTr="00BA17EF">
        <w:trPr>
          <w:trHeight w:val="300"/>
          <w:jc w:val="center"/>
        </w:trPr>
        <w:tc>
          <w:tcPr>
            <w:tcW w:w="181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CureVac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7.314.904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</w:tr>
      <w:tr w:rsidR="00BA17EF" w:rsidRPr="00BA17EF" w:rsidTr="00BA17EF">
        <w:trPr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76.224.326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39.958.409 (52,4%)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3C7D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35.435.853 (88,7%)</w:t>
            </w:r>
          </w:p>
        </w:tc>
      </w:tr>
      <w:tr w:rsidR="00BA17EF" w:rsidRPr="00BA17EF" w:rsidTr="00BA17EF">
        <w:trPr>
          <w:trHeight w:val="600"/>
          <w:jc w:val="center"/>
        </w:trPr>
        <w:tc>
          <w:tcPr>
            <w:tcW w:w="7753" w:type="dxa"/>
            <w:gridSpan w:val="4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BA17EF" w:rsidRPr="00BA17EF" w:rsidRDefault="00BA17EF" w:rsidP="00BA1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A17EF">
              <w:rPr>
                <w:rFonts w:ascii="Calibri" w:eastAsia="Times New Roman" w:hAnsi="Calibri" w:cs="Calibri"/>
                <w:noProof/>
                <w:color w:val="000000"/>
                <w:lang w:eastAsia="it-IT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3950970</wp:posOffset>
                  </wp:positionH>
                  <wp:positionV relativeFrom="paragraph">
                    <wp:posOffset>9525</wp:posOffset>
                  </wp:positionV>
                  <wp:extent cx="857250" cy="285750"/>
                  <wp:effectExtent l="0" t="0" r="0" b="0"/>
                  <wp:wrapNone/>
                  <wp:docPr id="5" name="Immagine 5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D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D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17EF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t>Elaborazione GIMBE su dati Ministero Salute, Commissario Straordinario COVID-19</w:t>
            </w:r>
            <w:r w:rsidRPr="00BA17EF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br/>
              <w:t>Aggiornamento: 2 giugno 2021 ore 06:08</w:t>
            </w:r>
          </w:p>
        </w:tc>
      </w:tr>
    </w:tbl>
    <w:p w:rsidR="00FA0E5D" w:rsidRDefault="00FA0E5D" w:rsidP="00231765">
      <w:pPr>
        <w:spacing w:after="120" w:line="276" w:lineRule="auto"/>
        <w:jc w:val="both"/>
      </w:pPr>
    </w:p>
    <w:p w:rsidR="00D46C5C" w:rsidRPr="00044AFD" w:rsidRDefault="00D46C5C" w:rsidP="00231765">
      <w:pPr>
        <w:spacing w:after="120" w:line="276" w:lineRule="auto"/>
        <w:jc w:val="both"/>
      </w:pPr>
      <w:r w:rsidRPr="00044AFD">
        <w:t>«</w:t>
      </w:r>
      <w:r>
        <w:t xml:space="preserve">Nonostante l’incremento di consegne </w:t>
      </w:r>
      <w:r w:rsidR="00507A5D">
        <w:t>n</w:t>
      </w:r>
      <w:r w:rsidRPr="00044AFD">
        <w:t>e</w:t>
      </w:r>
      <w:r>
        <w:t xml:space="preserve">ll’ultima settimana </w:t>
      </w:r>
      <w:r w:rsidRPr="00044AFD">
        <w:t>– spiega il Presidente –</w:t>
      </w:r>
      <w:r w:rsidR="00E84813">
        <w:t xml:space="preserve"> </w:t>
      </w:r>
      <w:r w:rsidRPr="00044AFD">
        <w:t xml:space="preserve">per rispettare le </w:t>
      </w:r>
      <w:r>
        <w:t>forniture</w:t>
      </w:r>
      <w:r w:rsidRPr="00044AFD">
        <w:t xml:space="preserve"> previste </w:t>
      </w:r>
      <w:r>
        <w:t xml:space="preserve">dal Piano vaccinale entro fine giugno </w:t>
      </w:r>
      <w:r w:rsidR="00C33652">
        <w:t xml:space="preserve">mancano </w:t>
      </w:r>
      <w:r>
        <w:t xml:space="preserve">ancora </w:t>
      </w:r>
      <w:r w:rsidR="00407CC4">
        <w:t>36,3</w:t>
      </w:r>
      <w:r w:rsidRPr="00571F4A">
        <w:t xml:space="preserve"> milioni di dosi</w:t>
      </w:r>
      <w:r w:rsidR="00E8214A">
        <w:t xml:space="preserve">, </w:t>
      </w:r>
      <w:r w:rsidR="00FB7D10">
        <w:t xml:space="preserve">un numero </w:t>
      </w:r>
      <w:r w:rsidR="00F643B2">
        <w:t xml:space="preserve">di consegne </w:t>
      </w:r>
      <w:r w:rsidR="00FB7D10">
        <w:t xml:space="preserve">non realistico, </w:t>
      </w:r>
      <w:r w:rsidR="00E8214A">
        <w:t xml:space="preserve">come </w:t>
      </w:r>
      <w:r w:rsidR="00507A5D">
        <w:t>ribadiamo</w:t>
      </w:r>
      <w:r w:rsidR="00E84813">
        <w:t xml:space="preserve"> </w:t>
      </w:r>
      <w:r w:rsidR="00FB7D10">
        <w:t>da settimane</w:t>
      </w:r>
      <w:r w:rsidRPr="00571F4A">
        <w:t>»</w:t>
      </w:r>
      <w:r w:rsidR="00E84813">
        <w:t xml:space="preserve"> </w:t>
      </w:r>
      <w:r w:rsidRPr="00044AFD">
        <w:t>(</w:t>
      </w:r>
      <w:r w:rsidRPr="00044AFD">
        <w:rPr>
          <w:highlight w:val="yellow"/>
        </w:rPr>
        <w:t xml:space="preserve">figura </w:t>
      </w:r>
      <w:r>
        <w:rPr>
          <w:highlight w:val="yellow"/>
        </w:rPr>
        <w:t>7</w:t>
      </w:r>
      <w:r w:rsidRPr="00044AFD">
        <w:t>)</w:t>
      </w:r>
      <w:r w:rsidRPr="00571F4A">
        <w:t>.</w:t>
      </w:r>
      <w:r w:rsidR="00E84813">
        <w:t xml:space="preserve"> </w:t>
      </w:r>
      <w:r w:rsidR="00DC23D7">
        <w:t xml:space="preserve">Infatti, </w:t>
      </w:r>
      <w:r w:rsidR="00E8214A">
        <w:t xml:space="preserve">il </w:t>
      </w:r>
      <w:r w:rsidR="00FB7D10">
        <w:t xml:space="preserve">Commissario Straordinario </w:t>
      </w:r>
      <w:r w:rsidR="00E8214A">
        <w:t xml:space="preserve">ha annunciato che a giugno le Regioni riceveranno </w:t>
      </w:r>
      <w:r w:rsidR="00C62BBF">
        <w:t>oltre</w:t>
      </w:r>
      <w:r w:rsidR="00E84813">
        <w:t xml:space="preserve"> </w:t>
      </w:r>
      <w:r w:rsidR="00E8214A">
        <w:t xml:space="preserve">20 milioni di </w:t>
      </w:r>
      <w:r w:rsidR="00C62BBF">
        <w:t>dosi</w:t>
      </w:r>
      <w:r w:rsidR="00E8214A">
        <w:t xml:space="preserve">, </w:t>
      </w:r>
      <w:r w:rsidR="00DC23D7">
        <w:t xml:space="preserve">un quantitativo che </w:t>
      </w:r>
      <w:r w:rsidR="00AD592A">
        <w:t xml:space="preserve">chiuderebbe </w:t>
      </w:r>
      <w:r w:rsidR="00DC23D7">
        <w:t xml:space="preserve">il </w:t>
      </w:r>
      <w:r w:rsidR="00E8214A">
        <w:t>consuntivo delle for</w:t>
      </w:r>
      <w:r w:rsidR="00255C33">
        <w:t xml:space="preserve">niture </w:t>
      </w:r>
      <w:r w:rsidR="00F574F3">
        <w:t>trimestrali</w:t>
      </w:r>
      <w:r w:rsidR="00E84813">
        <w:t xml:space="preserve"> </w:t>
      </w:r>
      <w:r w:rsidR="00363B58">
        <w:t xml:space="preserve">con </w:t>
      </w:r>
      <w:r w:rsidR="00DC23D7">
        <w:t xml:space="preserve">circa </w:t>
      </w:r>
      <w:r w:rsidR="00363B58">
        <w:t>15</w:t>
      </w:r>
      <w:r w:rsidR="00E84813">
        <w:t xml:space="preserve"> </w:t>
      </w:r>
      <w:r w:rsidR="00363B58">
        <w:t>milioni di dosi in meno</w:t>
      </w:r>
      <w:r w:rsidR="00F574F3">
        <w:t xml:space="preserve"> rispetto alle previsioni</w:t>
      </w:r>
      <w:r w:rsidR="008059B1">
        <w:t>.</w:t>
      </w:r>
    </w:p>
    <w:p w:rsidR="00513592" w:rsidRPr="00513592" w:rsidRDefault="00C865BD" w:rsidP="00231765">
      <w:pPr>
        <w:spacing w:after="120" w:line="276" w:lineRule="auto"/>
        <w:jc w:val="both"/>
        <w:rPr>
          <w:color w:val="FF0000"/>
        </w:rPr>
      </w:pPr>
      <w:r w:rsidRPr="00BA17EF">
        <w:rPr>
          <w:b/>
        </w:rPr>
        <w:t>Vaccini: somministrazioni.</w:t>
      </w:r>
      <w:r w:rsidR="00E84813">
        <w:rPr>
          <w:b/>
        </w:rPr>
        <w:t xml:space="preserve"> </w:t>
      </w:r>
      <w:r w:rsidR="0094585E" w:rsidRPr="00BA17EF">
        <w:t xml:space="preserve">Al </w:t>
      </w:r>
      <w:r w:rsidR="00683A5E" w:rsidRPr="00BA17EF">
        <w:t>2 giugn</w:t>
      </w:r>
      <w:r w:rsidR="0094585E" w:rsidRPr="00BA17EF">
        <w:t xml:space="preserve">o (aggiornamento ore </w:t>
      </w:r>
      <w:r w:rsidR="00BA17EF" w:rsidRPr="00BA17EF">
        <w:t>6.08</w:t>
      </w:r>
      <w:r w:rsidR="0094585E" w:rsidRPr="00BA17EF">
        <w:t>)</w:t>
      </w:r>
      <w:r w:rsidR="00F40B66" w:rsidRPr="00BA17EF">
        <w:t>,</w:t>
      </w:r>
      <w:r w:rsidR="00E84813">
        <w:t xml:space="preserve"> </w:t>
      </w:r>
      <w:r w:rsidR="00BA17EF" w:rsidRPr="00BA17EF">
        <w:t xml:space="preserve">il 40,3% della popolazione ha ricevuto almeno una dose di vaccino (n. 23.852.541) e il 20,7% ha completato il ciclo vaccinale (n. 12.294.543), </w:t>
      </w:r>
      <w:r w:rsidRPr="00BA17EF">
        <w:t>(</w:t>
      </w:r>
      <w:r w:rsidRPr="00BA17EF">
        <w:rPr>
          <w:highlight w:val="yellow"/>
        </w:rPr>
        <w:t xml:space="preserve">figura </w:t>
      </w:r>
      <w:r w:rsidR="00BA17EF">
        <w:rPr>
          <w:highlight w:val="yellow"/>
        </w:rPr>
        <w:t>8</w:t>
      </w:r>
      <w:r w:rsidRPr="00BA17EF">
        <w:t>).</w:t>
      </w:r>
      <w:r w:rsidR="00E84813">
        <w:t xml:space="preserve"> </w:t>
      </w:r>
      <w:r w:rsidR="00A24135">
        <w:t xml:space="preserve">Considerato </w:t>
      </w:r>
      <w:r w:rsidR="00E8214A">
        <w:t xml:space="preserve">che </w:t>
      </w:r>
      <w:r w:rsidR="00857FB2" w:rsidRPr="00BA17EF">
        <w:t xml:space="preserve">le </w:t>
      </w:r>
      <w:r w:rsidR="00185C48" w:rsidRPr="00BA17EF">
        <w:t xml:space="preserve">Regioni </w:t>
      </w:r>
      <w:r w:rsidR="00A24135">
        <w:t xml:space="preserve">stanno utilizzando </w:t>
      </w:r>
      <w:r w:rsidR="00185C48" w:rsidRPr="00BA17EF">
        <w:t>la quasi totalità d</w:t>
      </w:r>
      <w:r w:rsidR="00857FB2" w:rsidRPr="00BA17EF">
        <w:t xml:space="preserve">elle </w:t>
      </w:r>
      <w:r w:rsidR="00185C48" w:rsidRPr="00BA17EF">
        <w:t>dosi a disposizione</w:t>
      </w:r>
      <w:r w:rsidR="006A49A4" w:rsidRPr="00BA17EF">
        <w:t>,</w:t>
      </w:r>
      <w:r w:rsidR="00987631" w:rsidRPr="00BA17EF">
        <w:t xml:space="preserve"> il mancato decollo delle consegne</w:t>
      </w:r>
      <w:r w:rsidR="00475762">
        <w:t xml:space="preserve"> </w:t>
      </w:r>
      <w:r w:rsidR="00E8214A">
        <w:t>condiziona i</w:t>
      </w:r>
      <w:r w:rsidR="00857FB2" w:rsidRPr="00BA17EF">
        <w:t>l numero di somministrazioni,</w:t>
      </w:r>
      <w:r w:rsidR="00E84813">
        <w:t xml:space="preserve"> </w:t>
      </w:r>
      <w:r w:rsidR="00DC23D7">
        <w:t xml:space="preserve">ormai </w:t>
      </w:r>
      <w:r w:rsidR="00857FB2" w:rsidRPr="00BA17EF">
        <w:t>stabili</w:t>
      </w:r>
      <w:r w:rsidR="00E84813">
        <w:t xml:space="preserve"> </w:t>
      </w:r>
      <w:r w:rsidR="00E8214A">
        <w:t xml:space="preserve">da un paio di settimane </w:t>
      </w:r>
      <w:r w:rsidR="00837F13" w:rsidRPr="00BA17EF">
        <w:t>(</w:t>
      </w:r>
      <w:r w:rsidR="00837F13" w:rsidRPr="00BA17EF">
        <w:rPr>
          <w:highlight w:val="yellow"/>
        </w:rPr>
        <w:t>figura</w:t>
      </w:r>
      <w:r w:rsidR="00BA17EF">
        <w:rPr>
          <w:highlight w:val="yellow"/>
        </w:rPr>
        <w:t xml:space="preserve"> 9</w:t>
      </w:r>
      <w:r w:rsidR="00837F13" w:rsidRPr="00BA17EF">
        <w:t>)</w:t>
      </w:r>
      <w:r w:rsidR="00DC23D7">
        <w:t xml:space="preserve"> con </w:t>
      </w:r>
      <w:r w:rsidR="00E8214A">
        <w:t xml:space="preserve">la </w:t>
      </w:r>
      <w:r w:rsidR="009A324A" w:rsidRPr="00BA17EF">
        <w:t>media mobile a 7 giorni</w:t>
      </w:r>
      <w:r w:rsidR="00E84813">
        <w:t xml:space="preserve"> </w:t>
      </w:r>
      <w:r w:rsidR="00DC23D7">
        <w:t xml:space="preserve">che </w:t>
      </w:r>
      <w:r w:rsidR="00E8214A">
        <w:t xml:space="preserve">ha raggiunto </w:t>
      </w:r>
      <w:r w:rsidR="00BA17EF" w:rsidRPr="00BA17EF">
        <w:t>500</w:t>
      </w:r>
      <w:r w:rsidR="00E84813">
        <w:t xml:space="preserve"> </w:t>
      </w:r>
      <w:r w:rsidR="00E02B17" w:rsidRPr="00BA17EF">
        <w:t>mila</w:t>
      </w:r>
      <w:r w:rsidR="00E84813">
        <w:t xml:space="preserve"> </w:t>
      </w:r>
      <w:r w:rsidR="006A49A4" w:rsidRPr="00BA17EF">
        <w:t>inoculazioni</w:t>
      </w:r>
      <w:r w:rsidR="00DC23D7">
        <w:t>/die</w:t>
      </w:r>
      <w:r w:rsidR="00E84813">
        <w:t xml:space="preserve"> </w:t>
      </w:r>
      <w:r w:rsidR="00837F13" w:rsidRPr="00BA17EF">
        <w:t>(</w:t>
      </w:r>
      <w:r w:rsidR="00837F13" w:rsidRPr="00BA17EF">
        <w:rPr>
          <w:highlight w:val="yellow"/>
        </w:rPr>
        <w:t xml:space="preserve">figura </w:t>
      </w:r>
      <w:r w:rsidR="00BA17EF">
        <w:rPr>
          <w:highlight w:val="yellow"/>
        </w:rPr>
        <w:t>10</w:t>
      </w:r>
      <w:r w:rsidR="00837F13" w:rsidRPr="00BA17EF">
        <w:t>)</w:t>
      </w:r>
      <w:r w:rsidR="00AA3D8C" w:rsidRPr="00BA17EF">
        <w:t>.</w:t>
      </w:r>
    </w:p>
    <w:p w:rsidR="00EA0D70" w:rsidRPr="00C33477" w:rsidRDefault="00157A2E" w:rsidP="00231765">
      <w:pPr>
        <w:spacing w:after="120" w:line="276" w:lineRule="auto"/>
        <w:jc w:val="both"/>
      </w:pPr>
      <w:r w:rsidRPr="00C33477">
        <w:rPr>
          <w:b/>
        </w:rPr>
        <w:lastRenderedPageBreak/>
        <w:t>Vaccini: c</w:t>
      </w:r>
      <w:r w:rsidR="00862017" w:rsidRPr="00C33477">
        <w:rPr>
          <w:b/>
        </w:rPr>
        <w:t xml:space="preserve">opertura delle </w:t>
      </w:r>
      <w:r w:rsidR="00A417ED" w:rsidRPr="00C33477">
        <w:rPr>
          <w:b/>
        </w:rPr>
        <w:t>categorie prioritarie</w:t>
      </w:r>
      <w:r w:rsidR="005358F7" w:rsidRPr="00C33477">
        <w:rPr>
          <w:b/>
        </w:rPr>
        <w:t>.</w:t>
      </w:r>
      <w:r w:rsidR="00F27FFA">
        <w:rPr>
          <w:b/>
        </w:rPr>
        <w:t xml:space="preserve"> </w:t>
      </w:r>
      <w:r w:rsidR="00C33477" w:rsidRPr="00C33477">
        <w:t>L’81,5</w:t>
      </w:r>
      <w:r w:rsidR="00EA0D70" w:rsidRPr="00C33477">
        <w:t>%</w:t>
      </w:r>
      <w:r w:rsidR="000B50E1" w:rsidRPr="00C33477">
        <w:t xml:space="preserve"> degli over 60 ha ricevuto almeno la prima dose di vaccino, con </w:t>
      </w:r>
      <w:r w:rsidR="005137E2">
        <w:t xml:space="preserve">alcune </w:t>
      </w:r>
      <w:r w:rsidR="003F4304" w:rsidRPr="00C33477">
        <w:t>differenze regionali:</w:t>
      </w:r>
      <w:r w:rsidR="0052372B">
        <w:t xml:space="preserve"> se Puglia, Umbria, Lazio, Lombardia, Veneto e Molise superano l’85%, la Sicilia resta ancora sotto il 70%.</w:t>
      </w:r>
      <w:r w:rsidR="00F27FFA">
        <w:t xml:space="preserve"> </w:t>
      </w:r>
      <w:r w:rsidR="00E95D1F" w:rsidRPr="00C33477">
        <w:t>In dettaglio:</w:t>
      </w:r>
    </w:p>
    <w:p w:rsidR="00C33477" w:rsidRPr="00C33477" w:rsidRDefault="00C33477" w:rsidP="00C33477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C33477">
        <w:rPr>
          <w:b/>
        </w:rPr>
        <w:t>Over 80</w:t>
      </w:r>
      <w:r w:rsidRPr="00C33477">
        <w:t>: degli oltre 4,4 milioni, 3.736.001 (83,4%) hanno completato il ciclo vaccinale e 386.742 (8,6%) hanno ricevuto solo la prima dose (</w:t>
      </w:r>
      <w:r w:rsidRPr="00C33477">
        <w:rPr>
          <w:highlight w:val="yellow"/>
        </w:rPr>
        <w:t>figura 11</w:t>
      </w:r>
      <w:r w:rsidRPr="00C33477">
        <w:t>).</w:t>
      </w:r>
    </w:p>
    <w:p w:rsidR="00C33477" w:rsidRPr="00C33477" w:rsidRDefault="00C33477" w:rsidP="00C33477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C33477">
        <w:rPr>
          <w:b/>
        </w:rPr>
        <w:t>Fascia 70-79 anni</w:t>
      </w:r>
      <w:r w:rsidRPr="00C33477">
        <w:t>: degli oltre 5,9 milioni, 2.109.513 (35,4%) hanno completato il ciclo vaccinale e 2.884.265 (48,4%) hanno ricevuto solo la prima dose (</w:t>
      </w:r>
      <w:r w:rsidRPr="00C33477">
        <w:rPr>
          <w:highlight w:val="yellow"/>
        </w:rPr>
        <w:t>figura 12</w:t>
      </w:r>
      <w:r w:rsidRPr="00C33477">
        <w:t>).</w:t>
      </w:r>
    </w:p>
    <w:p w:rsidR="007D137E" w:rsidRPr="00C33477" w:rsidRDefault="00C33477" w:rsidP="00C33477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C33477">
        <w:rPr>
          <w:b/>
        </w:rPr>
        <w:t>Fascia 60-69 anni</w:t>
      </w:r>
      <w:r>
        <w:t xml:space="preserve">: degli oltre 7,3 milioni, </w:t>
      </w:r>
      <w:r w:rsidRPr="00C33477">
        <w:t>2.136.231 (28,7%) hanno completato il ciclo vaccinale e 3.325.680 (44,7%) hanno ricevuto solo la prima dose (</w:t>
      </w:r>
      <w:r w:rsidRPr="00C33477">
        <w:rPr>
          <w:highlight w:val="yellow"/>
        </w:rPr>
        <w:t>figura 13</w:t>
      </w:r>
      <w:r w:rsidRPr="00C33477">
        <w:t>).</w:t>
      </w:r>
    </w:p>
    <w:p w:rsidR="00CB4439" w:rsidRDefault="00CB4439" w:rsidP="005F1FBB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513592">
        <w:rPr>
          <w:b/>
        </w:rPr>
        <w:t>Soggetti fragili e loro caregiver</w:t>
      </w:r>
      <w:r w:rsidRPr="00513592">
        <w:t>:</w:t>
      </w:r>
      <w:r w:rsidR="00BC0E35">
        <w:t xml:space="preserve"> per questa categoria i</w:t>
      </w:r>
      <w:r w:rsidR="00F27FFA">
        <w:t xml:space="preserve"> </w:t>
      </w:r>
      <w:r w:rsidR="00B138AB">
        <w:t xml:space="preserve">dati non </w:t>
      </w:r>
      <w:r w:rsidR="00BC0E35">
        <w:t xml:space="preserve">sono più </w:t>
      </w:r>
      <w:r w:rsidR="00B138AB">
        <w:t xml:space="preserve">disponibili, in quanto </w:t>
      </w:r>
      <w:r w:rsidR="001457AC" w:rsidRPr="00513592">
        <w:t>dal</w:t>
      </w:r>
      <w:r w:rsidR="00F27FFA">
        <w:t xml:space="preserve"> </w:t>
      </w:r>
      <w:r w:rsidR="001457AC" w:rsidRPr="00513592">
        <w:t>28 maggio nel repository ufficiale</w:t>
      </w:r>
      <w:r w:rsidR="00F27FFA">
        <w:t xml:space="preserve"> </w:t>
      </w:r>
      <w:r w:rsidR="001457AC" w:rsidRPr="00513592">
        <w:t xml:space="preserve">le somministrazioni vengono rendicontate </w:t>
      </w:r>
      <w:r w:rsidR="00423592">
        <w:t xml:space="preserve">esclusivamente </w:t>
      </w:r>
      <w:r w:rsidR="00C33477">
        <w:t>per fascia d’età.</w:t>
      </w:r>
    </w:p>
    <w:p w:rsidR="00983B16" w:rsidRDefault="000D39C6" w:rsidP="00983B16">
      <w:pPr>
        <w:spacing w:line="276" w:lineRule="auto"/>
        <w:jc w:val="both"/>
      </w:pPr>
      <w:r w:rsidRPr="00C33477">
        <w:t>«</w:t>
      </w:r>
      <w:r w:rsidR="0052372B">
        <w:t>M</w:t>
      </w:r>
      <w:r w:rsidR="0052372B">
        <w:rPr>
          <w:lang w:eastAsia="it-IT"/>
        </w:rPr>
        <w:t xml:space="preserve">entre </w:t>
      </w:r>
      <w:r w:rsidR="00983B16">
        <w:rPr>
          <w:lang w:eastAsia="it-IT"/>
        </w:rPr>
        <w:t>inizian</w:t>
      </w:r>
      <w:r w:rsidR="0052372B">
        <w:rPr>
          <w:lang w:eastAsia="it-IT"/>
        </w:rPr>
        <w:t xml:space="preserve">o </w:t>
      </w:r>
      <w:r w:rsidR="00983B16">
        <w:rPr>
          <w:lang w:eastAsia="it-IT"/>
        </w:rPr>
        <w:t xml:space="preserve">a salire </w:t>
      </w:r>
      <w:r w:rsidR="0052372B">
        <w:rPr>
          <w:lang w:eastAsia="it-IT"/>
        </w:rPr>
        <w:t xml:space="preserve">le </w:t>
      </w:r>
      <w:r w:rsidR="0000191B">
        <w:rPr>
          <w:lang w:eastAsia="it-IT"/>
        </w:rPr>
        <w:t xml:space="preserve">coperture </w:t>
      </w:r>
      <w:r w:rsidR="0052372B">
        <w:rPr>
          <w:lang w:eastAsia="it-IT"/>
        </w:rPr>
        <w:t>nelle fasce d’età 50-59 e 40-49 anni</w:t>
      </w:r>
      <w:r w:rsidR="00F27FFA">
        <w:rPr>
          <w:lang w:eastAsia="it-IT"/>
        </w:rPr>
        <w:t xml:space="preserve"> </w:t>
      </w:r>
      <w:r w:rsidR="00222DC3" w:rsidRPr="00C33477">
        <w:rPr>
          <w:lang w:eastAsia="it-IT"/>
        </w:rPr>
        <w:t xml:space="preserve">– precisa </w:t>
      </w:r>
      <w:r w:rsidR="00857FB2" w:rsidRPr="00C33477">
        <w:rPr>
          <w:lang w:eastAsia="it-IT"/>
        </w:rPr>
        <w:t>Gili</w:t>
      </w:r>
      <w:r w:rsidR="00222DC3" w:rsidRPr="00C33477">
        <w:rPr>
          <w:lang w:eastAsia="it-IT"/>
        </w:rPr>
        <w:t xml:space="preserve"> –</w:t>
      </w:r>
      <w:r w:rsidR="0052372B">
        <w:rPr>
          <w:lang w:eastAsia="it-IT"/>
        </w:rPr>
        <w:t xml:space="preserve"> sono ancora </w:t>
      </w:r>
      <w:r w:rsidR="00D50C1E" w:rsidRPr="00C33477">
        <w:t>o</w:t>
      </w:r>
      <w:r w:rsidR="00D50C1E" w:rsidRPr="00C33477">
        <w:rPr>
          <w:lang w:eastAsia="it-IT"/>
        </w:rPr>
        <w:t>ltre 3,</w:t>
      </w:r>
      <w:r w:rsidR="00C33477" w:rsidRPr="00C33477">
        <w:rPr>
          <w:lang w:eastAsia="it-IT"/>
        </w:rPr>
        <w:t>3</w:t>
      </w:r>
      <w:r w:rsidR="00D50C1E" w:rsidRPr="00C33477">
        <w:rPr>
          <w:lang w:eastAsia="it-IT"/>
        </w:rPr>
        <w:t xml:space="preserve"> milioni </w:t>
      </w:r>
      <w:r w:rsidR="0052372B">
        <w:rPr>
          <w:lang w:eastAsia="it-IT"/>
        </w:rPr>
        <w:t xml:space="preserve">gli </w:t>
      </w:r>
      <w:r w:rsidR="00D50C1E" w:rsidRPr="00C33477">
        <w:rPr>
          <w:lang w:eastAsia="it-IT"/>
        </w:rPr>
        <w:t xml:space="preserve">over 60 </w:t>
      </w:r>
      <w:r w:rsidR="00222DC3" w:rsidRPr="00C33477">
        <w:rPr>
          <w:lang w:eastAsia="it-IT"/>
        </w:rPr>
        <w:t>ad elevato rischio di ospedalizzazione e decesso</w:t>
      </w:r>
      <w:r w:rsidR="00F27FFA">
        <w:rPr>
          <w:lang w:eastAsia="it-IT"/>
        </w:rPr>
        <w:t xml:space="preserve"> </w:t>
      </w:r>
      <w:r w:rsidR="00121FED">
        <w:rPr>
          <w:lang w:eastAsia="it-IT"/>
        </w:rPr>
        <w:t>che non hanno ricevuto nemmeno la prima dose di vaccino</w:t>
      </w:r>
      <w:r w:rsidR="006A49A4" w:rsidRPr="00C33477">
        <w:t>»</w:t>
      </w:r>
      <w:r w:rsidR="00121FED">
        <w:t xml:space="preserve">. </w:t>
      </w:r>
      <w:r w:rsidR="00BC0E35">
        <w:t>Più precisamente</w:t>
      </w:r>
      <w:r w:rsidR="00121FED">
        <w:t xml:space="preserve"> l’</w:t>
      </w:r>
      <w:r w:rsidR="00121FED" w:rsidRPr="00C33477">
        <w:t>8% degli over 80 (n. 357.683)</w:t>
      </w:r>
      <w:r w:rsidR="00121FED">
        <w:rPr>
          <w:lang w:eastAsia="it-IT"/>
        </w:rPr>
        <w:t>,</w:t>
      </w:r>
      <w:r w:rsidR="00F27FFA">
        <w:rPr>
          <w:lang w:eastAsia="it-IT"/>
        </w:rPr>
        <w:t xml:space="preserve"> </w:t>
      </w:r>
      <w:r w:rsidR="00121FED">
        <w:rPr>
          <w:lang w:eastAsia="it-IT"/>
        </w:rPr>
        <w:t xml:space="preserve">il </w:t>
      </w:r>
      <w:r w:rsidR="00121FED" w:rsidRPr="00C33477">
        <w:t xml:space="preserve">16,3% </w:t>
      </w:r>
      <w:r w:rsidR="00121FED">
        <w:t>della fascia 70-79 (n. 971.466) e il</w:t>
      </w:r>
      <w:r w:rsidR="00121FED" w:rsidRPr="00C33477">
        <w:t xml:space="preserve"> 26,6% della fascia 60-69 anni (n. 1.979.297) </w:t>
      </w:r>
      <w:r w:rsidR="00FD6509" w:rsidRPr="00C33477">
        <w:t>(</w:t>
      </w:r>
      <w:r w:rsidR="00FD6509" w:rsidRPr="00C33477">
        <w:rPr>
          <w:highlight w:val="yellow"/>
        </w:rPr>
        <w:t xml:space="preserve">figura </w:t>
      </w:r>
      <w:r w:rsidR="00C33477" w:rsidRPr="00C33477">
        <w:rPr>
          <w:highlight w:val="yellow"/>
        </w:rPr>
        <w:t>14</w:t>
      </w:r>
      <w:r w:rsidR="00FD6509" w:rsidRPr="00C33477">
        <w:t>).</w:t>
      </w:r>
    </w:p>
    <w:p w:rsidR="00C36E1B" w:rsidRDefault="00402BB9" w:rsidP="00983B16">
      <w:pPr>
        <w:spacing w:line="276" w:lineRule="auto"/>
        <w:jc w:val="both"/>
      </w:pPr>
      <w:r w:rsidRPr="003D3092">
        <w:rPr>
          <w:lang w:eastAsia="it-IT"/>
        </w:rPr>
        <w:t>«</w:t>
      </w:r>
      <w:r w:rsidR="00983B16">
        <w:rPr>
          <w:lang w:eastAsia="it-IT"/>
        </w:rPr>
        <w:t>Il netto</w:t>
      </w:r>
      <w:r>
        <w:rPr>
          <w:lang w:eastAsia="it-IT"/>
        </w:rPr>
        <w:t xml:space="preserve"> miglioramento del quadro pandemico </w:t>
      </w:r>
      <w:r w:rsidRPr="003D3092">
        <w:rPr>
          <w:lang w:eastAsia="it-IT"/>
        </w:rPr>
        <w:t xml:space="preserve">– conclude Cartabellotta </w:t>
      </w:r>
      <w:r>
        <w:rPr>
          <w:lang w:eastAsia="it-IT"/>
        </w:rPr>
        <w:t xml:space="preserve">– </w:t>
      </w:r>
      <w:r w:rsidR="00983B16">
        <w:rPr>
          <w:lang w:eastAsia="it-IT"/>
        </w:rPr>
        <w:t xml:space="preserve">se da un lato attesta </w:t>
      </w:r>
      <w:r w:rsidR="00983B16">
        <w:t xml:space="preserve">il successo del </w:t>
      </w:r>
      <w:r w:rsidR="00C33652">
        <w:t>“</w:t>
      </w:r>
      <w:r w:rsidR="00983B16">
        <w:t>rischio ragionato</w:t>
      </w:r>
      <w:r w:rsidR="00C33652">
        <w:t>”</w:t>
      </w:r>
      <w:r w:rsidR="00983B16">
        <w:t xml:space="preserve">, dall’altro richiede che il prudente ottimismo sia </w:t>
      </w:r>
      <w:r>
        <w:rPr>
          <w:lang w:eastAsia="it-IT"/>
        </w:rPr>
        <w:t>accompagnato da una strategia condivisa tra Governo e Regioni per garantire l’irreversibilità delle riaperture</w:t>
      </w:r>
      <w:r w:rsidR="00C36E1B" w:rsidRPr="003D3092">
        <w:rPr>
          <w:lang w:eastAsia="it-IT"/>
        </w:rPr>
        <w:t>»</w:t>
      </w:r>
      <w:r w:rsidR="00C36E1B">
        <w:rPr>
          <w:lang w:eastAsia="it-IT"/>
        </w:rPr>
        <w:t>.</w:t>
      </w:r>
      <w:r w:rsidR="00AF3153">
        <w:rPr>
          <w:lang w:eastAsia="it-IT"/>
        </w:rPr>
        <w:t xml:space="preserve"> </w:t>
      </w:r>
      <w:r w:rsidR="0000191B">
        <w:rPr>
          <w:lang w:eastAsia="it-IT"/>
        </w:rPr>
        <w:t xml:space="preserve">In questa direzione vanno </w:t>
      </w:r>
      <w:r w:rsidR="00B46602">
        <w:rPr>
          <w:lang w:eastAsia="it-IT"/>
        </w:rPr>
        <w:t>le</w:t>
      </w:r>
      <w:r w:rsidR="0000191B">
        <w:rPr>
          <w:lang w:eastAsia="it-IT"/>
        </w:rPr>
        <w:t xml:space="preserve"> proposte della </w:t>
      </w:r>
      <w:r w:rsidR="00C36E1B">
        <w:rPr>
          <w:lang w:eastAsia="it-IT"/>
        </w:rPr>
        <w:t>Fondazione GIMBE:</w:t>
      </w:r>
    </w:p>
    <w:p w:rsidR="00C36E1B" w:rsidRDefault="00C36E1B" w:rsidP="00721F12">
      <w:pPr>
        <w:pStyle w:val="Paragrafoelenco"/>
        <w:numPr>
          <w:ilvl w:val="0"/>
          <w:numId w:val="37"/>
        </w:numPr>
        <w:spacing w:after="0" w:line="276" w:lineRule="auto"/>
        <w:jc w:val="both"/>
        <w:rPr>
          <w:lang w:eastAsia="it-IT"/>
        </w:rPr>
      </w:pPr>
      <w:r>
        <w:rPr>
          <w:lang w:eastAsia="it-IT"/>
        </w:rPr>
        <w:t>A</w:t>
      </w:r>
      <w:r w:rsidR="00402BB9">
        <w:rPr>
          <w:lang w:eastAsia="it-IT"/>
        </w:rPr>
        <w:t xml:space="preserve">pportare al nuovo sistema per assegnare i colori </w:t>
      </w:r>
      <w:r w:rsidR="002358E2">
        <w:rPr>
          <w:lang w:eastAsia="it-IT"/>
        </w:rPr>
        <w:t xml:space="preserve">alle Regioni </w:t>
      </w:r>
      <w:r w:rsidR="00983B16">
        <w:rPr>
          <w:lang w:eastAsia="it-IT"/>
        </w:rPr>
        <w:t xml:space="preserve">i necessari </w:t>
      </w:r>
      <w:r w:rsidR="00402BB9">
        <w:rPr>
          <w:lang w:eastAsia="it-IT"/>
        </w:rPr>
        <w:t xml:space="preserve">correttivi </w:t>
      </w:r>
      <w:r w:rsidR="00121FED">
        <w:rPr>
          <w:lang w:eastAsia="it-IT"/>
        </w:rPr>
        <w:t xml:space="preserve">(es. </w:t>
      </w:r>
      <w:r w:rsidR="00121FED">
        <w:t>standard di tamponi per 100 mila abitanti)</w:t>
      </w:r>
      <w:r w:rsidR="00AF3153">
        <w:t xml:space="preserve"> </w:t>
      </w:r>
      <w:r w:rsidR="00402BB9">
        <w:rPr>
          <w:lang w:eastAsia="it-IT"/>
        </w:rPr>
        <w:t>per incentivare il testing e riprendere il tracciamento</w:t>
      </w:r>
      <w:r w:rsidR="00BC2007">
        <w:rPr>
          <w:lang w:eastAsia="it-IT"/>
        </w:rPr>
        <w:t>,</w:t>
      </w:r>
      <w:r w:rsidR="00402BB9">
        <w:rPr>
          <w:lang w:eastAsia="it-IT"/>
        </w:rPr>
        <w:t xml:space="preserve"> senza timore di non conquistare o </w:t>
      </w:r>
      <w:r w:rsidR="002358E2">
        <w:rPr>
          <w:lang w:eastAsia="it-IT"/>
        </w:rPr>
        <w:t xml:space="preserve">di </w:t>
      </w:r>
      <w:r w:rsidR="00402BB9">
        <w:rPr>
          <w:lang w:eastAsia="it-IT"/>
        </w:rPr>
        <w:t>perdere la zona bianca</w:t>
      </w:r>
      <w:r w:rsidR="00B46602">
        <w:rPr>
          <w:lang w:eastAsia="it-IT"/>
        </w:rPr>
        <w:t>.</w:t>
      </w:r>
    </w:p>
    <w:p w:rsidR="00B46602" w:rsidRDefault="00B46602" w:rsidP="00B46602">
      <w:pPr>
        <w:pStyle w:val="Paragrafoelenco"/>
        <w:numPr>
          <w:ilvl w:val="0"/>
          <w:numId w:val="37"/>
        </w:numPr>
        <w:spacing w:line="276" w:lineRule="auto"/>
        <w:jc w:val="both"/>
        <w:rPr>
          <w:lang w:eastAsia="it-IT"/>
        </w:rPr>
      </w:pPr>
      <w:r>
        <w:rPr>
          <w:lang w:eastAsia="it-IT"/>
        </w:rPr>
        <w:t>Definire una modalità univoca per identificare tempestivamente ed arginare eventuali focolai.</w:t>
      </w:r>
    </w:p>
    <w:p w:rsidR="00B46602" w:rsidRDefault="00B46602" w:rsidP="00B46602">
      <w:pPr>
        <w:pStyle w:val="Paragrafoelenco"/>
        <w:numPr>
          <w:ilvl w:val="0"/>
          <w:numId w:val="37"/>
        </w:numPr>
        <w:spacing w:line="276" w:lineRule="auto"/>
        <w:jc w:val="both"/>
        <w:rPr>
          <w:lang w:eastAsia="it-IT"/>
        </w:rPr>
      </w:pPr>
      <w:r>
        <w:rPr>
          <w:lang w:eastAsia="it-IT"/>
        </w:rPr>
        <w:t>Potenziare il sequenziamento delle varianti, in particolare in alcune Regioni</w:t>
      </w:r>
      <w:r w:rsidR="00785B2B">
        <w:rPr>
          <w:lang w:eastAsia="it-IT"/>
        </w:rPr>
        <w:t>,</w:t>
      </w:r>
      <w:r>
        <w:rPr>
          <w:lang w:eastAsia="it-IT"/>
        </w:rPr>
        <w:t xml:space="preserve"> e in caso di diffusione della variante indiana somministrare la seconda dose ad anziani e fragili secondo l’intervallo ottimale</w:t>
      </w:r>
      <w:r w:rsidR="003211CE">
        <w:rPr>
          <w:lang w:eastAsia="it-IT"/>
        </w:rPr>
        <w:t xml:space="preserve"> delle sperimentazioni cliniche</w:t>
      </w:r>
      <w:r w:rsidRPr="003D3092">
        <w:rPr>
          <w:lang w:eastAsia="it-IT"/>
        </w:rPr>
        <w:t>.</w:t>
      </w:r>
    </w:p>
    <w:p w:rsidR="00B46602" w:rsidRDefault="00B03077" w:rsidP="00C36E1B">
      <w:pPr>
        <w:pStyle w:val="Paragrafoelenco"/>
        <w:numPr>
          <w:ilvl w:val="0"/>
          <w:numId w:val="37"/>
        </w:numPr>
        <w:spacing w:line="276" w:lineRule="auto"/>
        <w:jc w:val="both"/>
        <w:rPr>
          <w:lang w:eastAsia="it-IT"/>
        </w:rPr>
      </w:pPr>
      <w:r>
        <w:rPr>
          <w:lang w:eastAsia="it-IT"/>
        </w:rPr>
        <w:t>Attuare</w:t>
      </w:r>
      <w:r w:rsidR="00AF3153">
        <w:rPr>
          <w:lang w:eastAsia="it-IT"/>
        </w:rPr>
        <w:t xml:space="preserve"> </w:t>
      </w:r>
      <w:r w:rsidR="00C36E1B">
        <w:rPr>
          <w:lang w:eastAsia="it-IT"/>
        </w:rPr>
        <w:t xml:space="preserve">nuove </w:t>
      </w:r>
      <w:r w:rsidR="00402BB9">
        <w:rPr>
          <w:lang w:eastAsia="it-IT"/>
        </w:rPr>
        <w:t>strategie per vaccinare gli oltre 3,3 milioni di over 60</w:t>
      </w:r>
      <w:r w:rsidR="00C36E1B">
        <w:rPr>
          <w:lang w:eastAsia="it-IT"/>
        </w:rPr>
        <w:t xml:space="preserve"> senza copertura</w:t>
      </w:r>
      <w:r w:rsidR="00B46602">
        <w:rPr>
          <w:lang w:eastAsia="it-IT"/>
        </w:rPr>
        <w:t xml:space="preserve"> e</w:t>
      </w:r>
      <w:r w:rsidR="001F5B10">
        <w:rPr>
          <w:lang w:eastAsia="it-IT"/>
        </w:rPr>
        <w:t xml:space="preserve"> ad </w:t>
      </w:r>
      <w:r w:rsidR="00B46602">
        <w:rPr>
          <w:lang w:eastAsia="it-IT"/>
        </w:rPr>
        <w:t xml:space="preserve">alto </w:t>
      </w:r>
      <w:r w:rsidR="001F5B10">
        <w:rPr>
          <w:lang w:eastAsia="it-IT"/>
        </w:rPr>
        <w:t>rischio di ospedalizzazione</w:t>
      </w:r>
      <w:r w:rsidR="00B46602">
        <w:rPr>
          <w:lang w:eastAsia="it-IT"/>
        </w:rPr>
        <w:t xml:space="preserve">: es. </w:t>
      </w:r>
      <w:r w:rsidR="002358E2" w:rsidRPr="00C62BBF">
        <w:rPr>
          <w:lang w:eastAsia="it-IT"/>
        </w:rPr>
        <w:t xml:space="preserve">chiamata attiva, open day dedicati, </w:t>
      </w:r>
      <w:r w:rsidR="00B46602">
        <w:rPr>
          <w:lang w:eastAsia="it-IT"/>
        </w:rPr>
        <w:t>comunicazione istituzionale</w:t>
      </w:r>
      <w:r w:rsidR="003B0601">
        <w:rPr>
          <w:lang w:eastAsia="it-IT"/>
        </w:rPr>
        <w:t xml:space="preserve"> dedicata</w:t>
      </w:r>
      <w:r w:rsidR="00B46602">
        <w:rPr>
          <w:lang w:eastAsia="it-IT"/>
        </w:rPr>
        <w:t xml:space="preserve">. </w:t>
      </w:r>
    </w:p>
    <w:p w:rsidR="008B1130" w:rsidRPr="004014C0" w:rsidRDefault="00AE53B4" w:rsidP="00C65326">
      <w:pPr>
        <w:spacing w:after="120"/>
        <w:jc w:val="both"/>
        <w:rPr>
          <w:rStyle w:val="Collegamentoipertestuale"/>
          <w:color w:val="auto"/>
          <w:u w:val="none"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2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F5067B" w:rsidRPr="00241CDD" w:rsidRDefault="00AE53B4" w:rsidP="002529AF">
      <w:pPr>
        <w:spacing w:after="120"/>
        <w:rPr>
          <w:rFonts w:ascii="Calibri" w:eastAsia="Calibri" w:hAnsi="Calibri" w:cs="Times New Roman"/>
          <w:color w:val="0563C1" w:themeColor="hyperlink"/>
          <w:sz w:val="20"/>
          <w:u w:val="single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3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C33477" w:rsidRDefault="00C33477">
      <w:pPr>
        <w:rPr>
          <w:rStyle w:val="Rimandocommento"/>
        </w:rPr>
      </w:pPr>
    </w:p>
    <w:p w:rsidR="00382E9F" w:rsidRDefault="00382E9F" w:rsidP="00C33477">
      <w:pPr>
        <w:jc w:val="center"/>
        <w:rPr>
          <w:rStyle w:val="Rimandocommento"/>
        </w:rPr>
      </w:pPr>
      <w:r>
        <w:rPr>
          <w:rStyle w:val="Rimandocommento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B97D3A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700713"/>
            <wp:effectExtent l="0" t="0" r="0" b="444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0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B97D3A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700713"/>
            <wp:effectExtent l="0" t="0" r="0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0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headerReference w:type="default" r:id="rId16"/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CF3FAA" w:rsidRDefault="00B97D3A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9360000" cy="4868302"/>
            <wp:effectExtent l="0" t="0" r="0" b="889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F2554D" w:rsidRDefault="004C0660" w:rsidP="00F2554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884344" w:rsidRDefault="007767A6" w:rsidP="00B656A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5565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:rsidR="00B97D3A" w:rsidRDefault="00EA7054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130232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30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:rsidR="00B97D3A" w:rsidRDefault="00B97D3A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6</w:t>
      </w:r>
    </w:p>
    <w:p w:rsidR="00B97D3A" w:rsidRDefault="00EA7054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51117"/>
            <wp:effectExtent l="0" t="0" r="0" b="190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5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:rsidR="00E35027" w:rsidRDefault="00E35027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</w:t>
      </w:r>
      <w:r w:rsidR="00B97D3A">
        <w:rPr>
          <w:b/>
          <w:color w:val="00457D"/>
          <w:sz w:val="24"/>
        </w:rPr>
        <w:t xml:space="preserve"> 7</w:t>
      </w:r>
    </w:p>
    <w:p w:rsidR="00807B5D" w:rsidRDefault="00F05ADD" w:rsidP="00A96778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49036"/>
            <wp:effectExtent l="0" t="0" r="0" b="889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4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3500D7" w:rsidRDefault="003500D7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B97D3A">
        <w:rPr>
          <w:b/>
          <w:color w:val="00457D"/>
          <w:sz w:val="24"/>
        </w:rPr>
        <w:t>8</w:t>
      </w:r>
    </w:p>
    <w:p w:rsidR="003500D7" w:rsidRDefault="00F05ADD" w:rsidP="003500D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22601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141E75" w:rsidRDefault="00141E75" w:rsidP="00141E7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B97D3A">
        <w:rPr>
          <w:b/>
          <w:color w:val="00457D"/>
          <w:sz w:val="24"/>
        </w:rPr>
        <w:t>9</w:t>
      </w:r>
    </w:p>
    <w:p w:rsidR="00141E75" w:rsidRDefault="00F05ADD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962062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62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 w:rsidP="008F70D4">
      <w:pPr>
        <w:spacing w:after="0"/>
        <w:jc w:val="center"/>
        <w:rPr>
          <w:b/>
          <w:color w:val="00457D"/>
          <w:sz w:val="24"/>
        </w:rPr>
      </w:pPr>
    </w:p>
    <w:p w:rsidR="00141E75" w:rsidRDefault="00141E75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B97D3A">
        <w:rPr>
          <w:b/>
          <w:color w:val="00457D"/>
          <w:sz w:val="24"/>
        </w:rPr>
        <w:t>10</w:t>
      </w:r>
    </w:p>
    <w:p w:rsidR="00141E75" w:rsidRDefault="00F05ADD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364932"/>
            <wp:effectExtent l="0" t="0" r="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42CC3" w:rsidRDefault="008F70D4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</w:t>
      </w:r>
      <w:r w:rsidR="00842CC3">
        <w:rPr>
          <w:b/>
          <w:color w:val="00457D"/>
          <w:sz w:val="24"/>
        </w:rPr>
        <w:t xml:space="preserve">igura </w:t>
      </w:r>
      <w:r w:rsidR="00B97D3A">
        <w:rPr>
          <w:b/>
          <w:color w:val="00457D"/>
          <w:sz w:val="24"/>
        </w:rPr>
        <w:t>11</w:t>
      </w:r>
    </w:p>
    <w:p w:rsidR="00842CC3" w:rsidRDefault="00F05ADD" w:rsidP="00E723D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36656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66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CC3">
        <w:rPr>
          <w:b/>
          <w:color w:val="00457D"/>
          <w:sz w:val="24"/>
        </w:rPr>
        <w:br w:type="page"/>
      </w:r>
    </w:p>
    <w:p w:rsidR="00A1163B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E53AC">
        <w:rPr>
          <w:b/>
          <w:color w:val="00457D"/>
          <w:sz w:val="24"/>
        </w:rPr>
        <w:t>1</w:t>
      </w:r>
      <w:r w:rsidR="00B97D3A">
        <w:rPr>
          <w:b/>
          <w:color w:val="00457D"/>
          <w:sz w:val="24"/>
        </w:rPr>
        <w:t>2</w:t>
      </w:r>
    </w:p>
    <w:p w:rsidR="00117E81" w:rsidRDefault="00F05ADD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446849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46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902DB0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</w:t>
      </w:r>
      <w:r w:rsidR="00B97D3A">
        <w:rPr>
          <w:b/>
          <w:color w:val="00457D"/>
          <w:sz w:val="24"/>
        </w:rPr>
        <w:t>3</w:t>
      </w:r>
    </w:p>
    <w:p w:rsidR="00A1163B" w:rsidRDefault="00F05ADD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2864"/>
            <wp:effectExtent l="0" t="0" r="0" b="254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75" w:rsidRDefault="00141E75" w:rsidP="00FD54FE">
      <w:pPr>
        <w:spacing w:after="120"/>
        <w:jc w:val="center"/>
        <w:rPr>
          <w:b/>
          <w:color w:val="00457D"/>
          <w:sz w:val="24"/>
        </w:rPr>
      </w:pPr>
    </w:p>
    <w:p w:rsidR="00A65A7C" w:rsidRDefault="000D39C6" w:rsidP="002A179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227DD0">
        <w:rPr>
          <w:b/>
          <w:color w:val="00457D"/>
          <w:sz w:val="24"/>
        </w:rPr>
        <w:t>1</w:t>
      </w:r>
      <w:r w:rsidR="00B97D3A">
        <w:rPr>
          <w:b/>
          <w:color w:val="00457D"/>
          <w:sz w:val="24"/>
        </w:rPr>
        <w:t>4</w:t>
      </w:r>
    </w:p>
    <w:p w:rsidR="000D39C6" w:rsidRDefault="00021815" w:rsidP="00F05ADD">
      <w:pPr>
        <w:jc w:val="center"/>
        <w:rPr>
          <w:rStyle w:val="Rimandocommento"/>
        </w:rPr>
      </w:pPr>
      <w:r>
        <w:rPr>
          <w:rStyle w:val="Rimandocommento"/>
          <w:noProof/>
          <w:lang w:eastAsia="it-IT"/>
        </w:rPr>
        <w:drawing>
          <wp:inline distT="0" distB="0" distL="0" distR="0">
            <wp:extent cx="5760000" cy="3362711"/>
            <wp:effectExtent l="0" t="0" r="0" b="952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C6" w:rsidRDefault="000D39C6" w:rsidP="000D39C6">
      <w:pPr>
        <w:spacing w:after="120"/>
        <w:jc w:val="both"/>
      </w:pPr>
    </w:p>
    <w:p w:rsidR="000D39C6" w:rsidRPr="000D39C6" w:rsidRDefault="000D39C6" w:rsidP="000D39C6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1</w:t>
      </w:r>
      <w:r w:rsidR="00B97D3A">
        <w:rPr>
          <w:b/>
          <w:color w:val="00457D"/>
          <w:sz w:val="24"/>
        </w:rPr>
        <w:t>5</w:t>
      </w:r>
    </w:p>
    <w:p w:rsidR="002923C1" w:rsidRDefault="00C33477" w:rsidP="002923C1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>
            <wp:extent cx="5760000" cy="3398609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9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A1163B" w:rsidP="0006575A">
      <w:pPr>
        <w:rPr>
          <w:b/>
          <w:color w:val="FF0000"/>
          <w:sz w:val="24"/>
        </w:rPr>
        <w:sectPr w:rsidR="00A1163B" w:rsidSect="005C6853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757251" w:rsidRPr="00B242BF" w:rsidRDefault="009B1700" w:rsidP="00BC21C3">
      <w:pPr>
        <w:spacing w:line="276" w:lineRule="auto"/>
        <w:jc w:val="center"/>
        <w:rPr>
          <w:b/>
          <w:color w:val="00457D"/>
          <w:sz w:val="24"/>
        </w:rPr>
      </w:pPr>
      <w:r w:rsidRPr="00B242BF">
        <w:rPr>
          <w:b/>
          <w:color w:val="00457D"/>
          <w:sz w:val="24"/>
        </w:rPr>
        <w:lastRenderedPageBreak/>
        <w:t xml:space="preserve">Tabella. Indicatori regionali: settimana </w:t>
      </w:r>
      <w:r w:rsidR="00B97D3A">
        <w:rPr>
          <w:b/>
          <w:color w:val="00457D"/>
          <w:sz w:val="24"/>
        </w:rPr>
        <w:t>26</w:t>
      </w:r>
      <w:r w:rsidR="005C6853" w:rsidRPr="00B242BF">
        <w:rPr>
          <w:b/>
          <w:color w:val="00457D"/>
          <w:sz w:val="24"/>
        </w:rPr>
        <w:t xml:space="preserve"> maggio</w:t>
      </w:r>
      <w:r w:rsidR="00B97D3A">
        <w:rPr>
          <w:b/>
          <w:color w:val="00457D"/>
          <w:sz w:val="24"/>
        </w:rPr>
        <w:t xml:space="preserve"> – 1 giugno</w:t>
      </w:r>
      <w:r w:rsidR="00F76612" w:rsidRPr="00B242BF">
        <w:rPr>
          <w:b/>
          <w:color w:val="00457D"/>
          <w:sz w:val="24"/>
        </w:rPr>
        <w:t>2021</w:t>
      </w:r>
    </w:p>
    <w:tbl>
      <w:tblPr>
        <w:tblW w:w="5000" w:type="pct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/>
      </w:tblPr>
      <w:tblGrid>
        <w:gridCol w:w="2310"/>
        <w:gridCol w:w="1849"/>
        <w:gridCol w:w="1455"/>
        <w:gridCol w:w="1985"/>
        <w:gridCol w:w="2179"/>
      </w:tblGrid>
      <w:tr w:rsidR="00B97D3A" w:rsidRPr="00B97D3A" w:rsidTr="00E32853">
        <w:trPr>
          <w:trHeight w:val="907"/>
        </w:trPr>
        <w:tc>
          <w:tcPr>
            <w:tcW w:w="1186" w:type="pct"/>
            <w:tcBorders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B97D3A" w:rsidRPr="00B97D3A" w:rsidRDefault="00B97D3A" w:rsidP="00B97D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94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B97D3A" w:rsidRPr="00B242BF" w:rsidRDefault="00B97D3A" w:rsidP="00B97D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3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B97D3A" w:rsidRPr="00B242BF" w:rsidRDefault="00B97D3A" w:rsidP="00B97D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1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B97D3A" w:rsidRPr="00B242BF" w:rsidRDefault="00B97D3A" w:rsidP="00B97D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116" w:type="pct"/>
            <w:tcBorders>
              <w:lef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B97D3A" w:rsidRPr="00B242BF" w:rsidRDefault="00B97D3A" w:rsidP="00B97D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413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-26,3%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9%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8%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657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-20,5%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14%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494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-24,8%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25%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1.155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-28,2%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16%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9%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323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-37,2%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8%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401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-8,3%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294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-33,2%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14%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15%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68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-23,8%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311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-26,4%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14%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16%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238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-28,2%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9%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40</w:t>
            </w:r>
          </w:p>
        </w:tc>
        <w:tc>
          <w:tcPr>
            <w:tcW w:w="738" w:type="pct"/>
            <w:shd w:val="clear" w:color="000000" w:fill="FFC7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9C0006"/>
                <w:lang w:eastAsia="it-IT"/>
              </w:rPr>
              <w:t>11,8%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112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-31,1%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127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-5,2%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88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-7,8%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601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-33,0%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786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-16,5%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8%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195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-13,3%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206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-33,9%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8%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21%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172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-15,8%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9%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170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-38,2%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auto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167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color w:val="006100"/>
                <w:lang w:eastAsia="it-IT"/>
              </w:rPr>
              <w:t>-23,9%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</w:tr>
      <w:tr w:rsidR="00E32853" w:rsidRPr="00E32853" w:rsidTr="00E32853">
        <w:trPr>
          <w:trHeight w:val="340"/>
        </w:trPr>
        <w:tc>
          <w:tcPr>
            <w:tcW w:w="1186" w:type="pct"/>
            <w:shd w:val="clear" w:color="auto" w:fill="00457D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944" w:type="pct"/>
            <w:shd w:val="clear" w:color="auto" w:fill="C6EFCE"/>
            <w:noWrap/>
            <w:vAlign w:val="center"/>
            <w:hideMark/>
          </w:tcPr>
          <w:p w:rsidR="00E32853" w:rsidRPr="00B97D3A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B97D3A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379</w:t>
            </w:r>
          </w:p>
        </w:tc>
        <w:tc>
          <w:tcPr>
            <w:tcW w:w="738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b/>
                <w:color w:val="006100"/>
                <w:lang w:eastAsia="it-IT"/>
              </w:rPr>
              <w:t>-27,4%</w:t>
            </w:r>
          </w:p>
        </w:tc>
        <w:tc>
          <w:tcPr>
            <w:tcW w:w="1015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b/>
                <w:color w:val="006100"/>
                <w:lang w:eastAsia="it-IT"/>
              </w:rPr>
              <w:t>10%</w:t>
            </w:r>
          </w:p>
        </w:tc>
        <w:tc>
          <w:tcPr>
            <w:tcW w:w="1116" w:type="pct"/>
            <w:shd w:val="clear" w:color="000000" w:fill="C6EFCE"/>
            <w:noWrap/>
            <w:vAlign w:val="center"/>
            <w:hideMark/>
          </w:tcPr>
          <w:p w:rsidR="00E32853" w:rsidRPr="00E32853" w:rsidRDefault="00E32853" w:rsidP="00E328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6100"/>
                <w:lang w:eastAsia="it-IT"/>
              </w:rPr>
            </w:pPr>
            <w:r w:rsidRPr="00E32853">
              <w:rPr>
                <w:rFonts w:ascii="Calibri" w:eastAsia="Times New Roman" w:hAnsi="Calibri" w:cs="Calibri"/>
                <w:b/>
                <w:color w:val="006100"/>
                <w:lang w:eastAsia="it-IT"/>
              </w:rPr>
              <w:t>11%</w:t>
            </w:r>
          </w:p>
        </w:tc>
      </w:tr>
      <w:tr w:rsidR="00B97D3A" w:rsidRPr="003C68B6" w:rsidTr="00CA30BC">
        <w:tblPrEx>
          <w:jc w:val="center"/>
        </w:tblPrEx>
        <w:trPr>
          <w:trHeight w:val="1644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B97D3A" w:rsidRPr="003C68B6" w:rsidRDefault="00B97D3A" w:rsidP="00CA30BC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B97D3A" w:rsidRPr="003C68B6" w:rsidRDefault="00B97D3A" w:rsidP="00CA30BC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B97D3A" w:rsidRDefault="00B97D3A">
      <w:pPr>
        <w:rPr>
          <w:b/>
          <w:color w:val="00457D"/>
          <w:spacing w:val="-4"/>
          <w:sz w:val="24"/>
        </w:rPr>
      </w:pPr>
    </w:p>
    <w:sectPr w:rsidR="00B97D3A" w:rsidSect="00A1163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CAB" w:rsidRDefault="00780CAB">
      <w:pPr>
        <w:spacing w:after="0" w:line="240" w:lineRule="auto"/>
      </w:pPr>
      <w:r>
        <w:separator/>
      </w:r>
    </w:p>
  </w:endnote>
  <w:endnote w:type="continuationSeparator" w:id="1">
    <w:p w:rsidR="00780CAB" w:rsidRDefault="00780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CAB" w:rsidRDefault="00780CAB">
      <w:pPr>
        <w:spacing w:after="0" w:line="240" w:lineRule="auto"/>
      </w:pPr>
      <w:r>
        <w:separator/>
      </w:r>
    </w:p>
  </w:footnote>
  <w:footnote w:type="continuationSeparator" w:id="1">
    <w:p w:rsidR="00780CAB" w:rsidRDefault="00780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53" w:rsidRPr="00E32853" w:rsidRDefault="00E32853" w:rsidP="005A0E4E">
    <w:pPr>
      <w:pStyle w:val="Intestazione"/>
      <w:jc w:val="center"/>
      <w:rPr>
        <w:b/>
        <w:color w:val="FF0000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9E1463"/>
    <w:multiLevelType w:val="hybridMultilevel"/>
    <w:tmpl w:val="7A4C4D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737A7A"/>
    <w:multiLevelType w:val="multilevel"/>
    <w:tmpl w:val="CB5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9C5165"/>
    <w:multiLevelType w:val="hybridMultilevel"/>
    <w:tmpl w:val="F196B8DE"/>
    <w:lvl w:ilvl="0" w:tplc="4A4CBF0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CA7847"/>
    <w:multiLevelType w:val="hybridMultilevel"/>
    <w:tmpl w:val="3C1451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C362A1B"/>
    <w:multiLevelType w:val="hybridMultilevel"/>
    <w:tmpl w:val="36689C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FF97BD9"/>
    <w:multiLevelType w:val="hybridMultilevel"/>
    <w:tmpl w:val="C7DA7C08"/>
    <w:lvl w:ilvl="0" w:tplc="6D3AB94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A543D4E"/>
    <w:multiLevelType w:val="hybridMultilevel"/>
    <w:tmpl w:val="646A98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4D7393"/>
    <w:multiLevelType w:val="hybridMultilevel"/>
    <w:tmpl w:val="22E6387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4"/>
  </w:num>
  <w:num w:numId="5">
    <w:abstractNumId w:val="36"/>
  </w:num>
  <w:num w:numId="6">
    <w:abstractNumId w:val="15"/>
  </w:num>
  <w:num w:numId="7">
    <w:abstractNumId w:val="1"/>
  </w:num>
  <w:num w:numId="8">
    <w:abstractNumId w:val="31"/>
  </w:num>
  <w:num w:numId="9">
    <w:abstractNumId w:val="11"/>
  </w:num>
  <w:num w:numId="10">
    <w:abstractNumId w:val="16"/>
  </w:num>
  <w:num w:numId="11">
    <w:abstractNumId w:val="9"/>
  </w:num>
  <w:num w:numId="12">
    <w:abstractNumId w:val="23"/>
  </w:num>
  <w:num w:numId="13">
    <w:abstractNumId w:val="35"/>
  </w:num>
  <w:num w:numId="14">
    <w:abstractNumId w:val="17"/>
  </w:num>
  <w:num w:numId="15">
    <w:abstractNumId w:val="12"/>
  </w:num>
  <w:num w:numId="16">
    <w:abstractNumId w:val="19"/>
  </w:num>
  <w:num w:numId="17">
    <w:abstractNumId w:val="29"/>
  </w:num>
  <w:num w:numId="18">
    <w:abstractNumId w:val="4"/>
  </w:num>
  <w:num w:numId="19">
    <w:abstractNumId w:val="30"/>
  </w:num>
  <w:num w:numId="20">
    <w:abstractNumId w:val="26"/>
  </w:num>
  <w:num w:numId="21">
    <w:abstractNumId w:val="25"/>
  </w:num>
  <w:num w:numId="22">
    <w:abstractNumId w:val="33"/>
  </w:num>
  <w:num w:numId="23">
    <w:abstractNumId w:val="21"/>
  </w:num>
  <w:num w:numId="24">
    <w:abstractNumId w:val="3"/>
  </w:num>
  <w:num w:numId="25">
    <w:abstractNumId w:val="2"/>
  </w:num>
  <w:num w:numId="26">
    <w:abstractNumId w:val="24"/>
  </w:num>
  <w:num w:numId="27">
    <w:abstractNumId w:val="27"/>
  </w:num>
  <w:num w:numId="28">
    <w:abstractNumId w:val="32"/>
  </w:num>
  <w:num w:numId="29">
    <w:abstractNumId w:val="28"/>
  </w:num>
  <w:num w:numId="30">
    <w:abstractNumId w:val="0"/>
  </w:num>
  <w:num w:numId="31">
    <w:abstractNumId w:val="13"/>
  </w:num>
  <w:num w:numId="32">
    <w:abstractNumId w:val="18"/>
  </w:num>
  <w:num w:numId="33">
    <w:abstractNumId w:val="22"/>
  </w:num>
  <w:num w:numId="34">
    <w:abstractNumId w:val="6"/>
  </w:num>
  <w:num w:numId="35">
    <w:abstractNumId w:val="10"/>
  </w:num>
  <w:num w:numId="36">
    <w:abstractNumId w:val="34"/>
  </w:num>
  <w:num w:numId="3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hdrShapeDefaults>
    <o:shapedefaults v:ext="edit" spidmax="8194"/>
  </w:hdrShapeDefaults>
  <w:footnotePr>
    <w:numFmt w:val="chicago"/>
    <w:footnote w:id="0"/>
    <w:footnote w:id="1"/>
  </w:footnotePr>
  <w:endnotePr>
    <w:endnote w:id="0"/>
    <w:endnote w:id="1"/>
  </w:endnotePr>
  <w:compat/>
  <w:rsids>
    <w:rsidRoot w:val="00BC1DF4"/>
    <w:rsid w:val="00000078"/>
    <w:rsid w:val="00000F50"/>
    <w:rsid w:val="00001157"/>
    <w:rsid w:val="0000191B"/>
    <w:rsid w:val="00001B7A"/>
    <w:rsid w:val="00001D39"/>
    <w:rsid w:val="00002087"/>
    <w:rsid w:val="0000219C"/>
    <w:rsid w:val="00002740"/>
    <w:rsid w:val="000028FB"/>
    <w:rsid w:val="0000329A"/>
    <w:rsid w:val="00003531"/>
    <w:rsid w:val="0000481E"/>
    <w:rsid w:val="00005682"/>
    <w:rsid w:val="00006C73"/>
    <w:rsid w:val="00007085"/>
    <w:rsid w:val="0000756B"/>
    <w:rsid w:val="00010037"/>
    <w:rsid w:val="00010694"/>
    <w:rsid w:val="00010725"/>
    <w:rsid w:val="000111EE"/>
    <w:rsid w:val="00013116"/>
    <w:rsid w:val="00013860"/>
    <w:rsid w:val="00014416"/>
    <w:rsid w:val="0001456C"/>
    <w:rsid w:val="00014656"/>
    <w:rsid w:val="000148D8"/>
    <w:rsid w:val="000149BF"/>
    <w:rsid w:val="00014DD9"/>
    <w:rsid w:val="00015381"/>
    <w:rsid w:val="00015FA4"/>
    <w:rsid w:val="00016386"/>
    <w:rsid w:val="00016A93"/>
    <w:rsid w:val="00016C84"/>
    <w:rsid w:val="00017282"/>
    <w:rsid w:val="00020702"/>
    <w:rsid w:val="00020A07"/>
    <w:rsid w:val="000215A2"/>
    <w:rsid w:val="00021815"/>
    <w:rsid w:val="00021EE9"/>
    <w:rsid w:val="0002277E"/>
    <w:rsid w:val="00022E16"/>
    <w:rsid w:val="000244BD"/>
    <w:rsid w:val="00024558"/>
    <w:rsid w:val="00025494"/>
    <w:rsid w:val="00025FA8"/>
    <w:rsid w:val="000265B1"/>
    <w:rsid w:val="00026E97"/>
    <w:rsid w:val="00027266"/>
    <w:rsid w:val="0003010A"/>
    <w:rsid w:val="00030315"/>
    <w:rsid w:val="000304F0"/>
    <w:rsid w:val="00030CFC"/>
    <w:rsid w:val="00030E3E"/>
    <w:rsid w:val="0003110F"/>
    <w:rsid w:val="000312A8"/>
    <w:rsid w:val="00031CE6"/>
    <w:rsid w:val="000324EF"/>
    <w:rsid w:val="0003350D"/>
    <w:rsid w:val="00033CB3"/>
    <w:rsid w:val="00033F82"/>
    <w:rsid w:val="0003447B"/>
    <w:rsid w:val="00034E17"/>
    <w:rsid w:val="00036BD4"/>
    <w:rsid w:val="0003714A"/>
    <w:rsid w:val="00037345"/>
    <w:rsid w:val="000400DF"/>
    <w:rsid w:val="0004012A"/>
    <w:rsid w:val="000401C6"/>
    <w:rsid w:val="00040A64"/>
    <w:rsid w:val="000414F2"/>
    <w:rsid w:val="000416C3"/>
    <w:rsid w:val="00042777"/>
    <w:rsid w:val="00042F53"/>
    <w:rsid w:val="00043D06"/>
    <w:rsid w:val="00044062"/>
    <w:rsid w:val="000440AB"/>
    <w:rsid w:val="00044AFD"/>
    <w:rsid w:val="00044EEF"/>
    <w:rsid w:val="0004515C"/>
    <w:rsid w:val="00045DFC"/>
    <w:rsid w:val="00045E1F"/>
    <w:rsid w:val="00046135"/>
    <w:rsid w:val="00047D44"/>
    <w:rsid w:val="00050361"/>
    <w:rsid w:val="00051608"/>
    <w:rsid w:val="000518D9"/>
    <w:rsid w:val="0005345C"/>
    <w:rsid w:val="00053E14"/>
    <w:rsid w:val="00054919"/>
    <w:rsid w:val="0005557E"/>
    <w:rsid w:val="00055A37"/>
    <w:rsid w:val="00055C25"/>
    <w:rsid w:val="00055E82"/>
    <w:rsid w:val="00056307"/>
    <w:rsid w:val="000563A9"/>
    <w:rsid w:val="00056CDB"/>
    <w:rsid w:val="00057080"/>
    <w:rsid w:val="00060F82"/>
    <w:rsid w:val="00062566"/>
    <w:rsid w:val="00062A06"/>
    <w:rsid w:val="0006484A"/>
    <w:rsid w:val="00064A00"/>
    <w:rsid w:val="0006545A"/>
    <w:rsid w:val="00065711"/>
    <w:rsid w:val="0006575A"/>
    <w:rsid w:val="00065BEB"/>
    <w:rsid w:val="00066026"/>
    <w:rsid w:val="000670AE"/>
    <w:rsid w:val="00067E78"/>
    <w:rsid w:val="000702BE"/>
    <w:rsid w:val="00070853"/>
    <w:rsid w:val="00070ED2"/>
    <w:rsid w:val="00071627"/>
    <w:rsid w:val="00071D28"/>
    <w:rsid w:val="00072641"/>
    <w:rsid w:val="000736A0"/>
    <w:rsid w:val="00074190"/>
    <w:rsid w:val="000748DF"/>
    <w:rsid w:val="000751E0"/>
    <w:rsid w:val="00075B76"/>
    <w:rsid w:val="000764D8"/>
    <w:rsid w:val="00076A2E"/>
    <w:rsid w:val="00076CE3"/>
    <w:rsid w:val="00077F18"/>
    <w:rsid w:val="00080306"/>
    <w:rsid w:val="00081517"/>
    <w:rsid w:val="00081620"/>
    <w:rsid w:val="0008306E"/>
    <w:rsid w:val="000837D2"/>
    <w:rsid w:val="00084054"/>
    <w:rsid w:val="0008430B"/>
    <w:rsid w:val="000846BC"/>
    <w:rsid w:val="000846FB"/>
    <w:rsid w:val="000847A3"/>
    <w:rsid w:val="000854F3"/>
    <w:rsid w:val="00087381"/>
    <w:rsid w:val="000877C3"/>
    <w:rsid w:val="000901C1"/>
    <w:rsid w:val="00090386"/>
    <w:rsid w:val="00090A20"/>
    <w:rsid w:val="000911B4"/>
    <w:rsid w:val="0009175F"/>
    <w:rsid w:val="00092192"/>
    <w:rsid w:val="0009286F"/>
    <w:rsid w:val="00093067"/>
    <w:rsid w:val="000930F4"/>
    <w:rsid w:val="0009326E"/>
    <w:rsid w:val="000936E0"/>
    <w:rsid w:val="00093E19"/>
    <w:rsid w:val="00095C79"/>
    <w:rsid w:val="00097055"/>
    <w:rsid w:val="000979DA"/>
    <w:rsid w:val="00097CE0"/>
    <w:rsid w:val="000A0B3B"/>
    <w:rsid w:val="000A0EAD"/>
    <w:rsid w:val="000A20B7"/>
    <w:rsid w:val="000A3147"/>
    <w:rsid w:val="000A3435"/>
    <w:rsid w:val="000A3B30"/>
    <w:rsid w:val="000A3B5F"/>
    <w:rsid w:val="000A4599"/>
    <w:rsid w:val="000A4D94"/>
    <w:rsid w:val="000A4DBA"/>
    <w:rsid w:val="000A4F71"/>
    <w:rsid w:val="000A5004"/>
    <w:rsid w:val="000A5141"/>
    <w:rsid w:val="000A53A0"/>
    <w:rsid w:val="000A6134"/>
    <w:rsid w:val="000B00A6"/>
    <w:rsid w:val="000B0C7A"/>
    <w:rsid w:val="000B0D4B"/>
    <w:rsid w:val="000B0EC6"/>
    <w:rsid w:val="000B0FD3"/>
    <w:rsid w:val="000B0FF3"/>
    <w:rsid w:val="000B178F"/>
    <w:rsid w:val="000B1EE4"/>
    <w:rsid w:val="000B2724"/>
    <w:rsid w:val="000B3191"/>
    <w:rsid w:val="000B382F"/>
    <w:rsid w:val="000B4627"/>
    <w:rsid w:val="000B50E1"/>
    <w:rsid w:val="000B5683"/>
    <w:rsid w:val="000B5948"/>
    <w:rsid w:val="000C100C"/>
    <w:rsid w:val="000C180A"/>
    <w:rsid w:val="000C1E61"/>
    <w:rsid w:val="000C1F3E"/>
    <w:rsid w:val="000C2099"/>
    <w:rsid w:val="000C26B7"/>
    <w:rsid w:val="000C27FD"/>
    <w:rsid w:val="000C2834"/>
    <w:rsid w:val="000C4771"/>
    <w:rsid w:val="000C59B4"/>
    <w:rsid w:val="000C646F"/>
    <w:rsid w:val="000C6F2F"/>
    <w:rsid w:val="000C6FC9"/>
    <w:rsid w:val="000C7991"/>
    <w:rsid w:val="000D06B3"/>
    <w:rsid w:val="000D13EA"/>
    <w:rsid w:val="000D14D6"/>
    <w:rsid w:val="000D19DF"/>
    <w:rsid w:val="000D22FF"/>
    <w:rsid w:val="000D32B5"/>
    <w:rsid w:val="000D3317"/>
    <w:rsid w:val="000D3955"/>
    <w:rsid w:val="000D39C6"/>
    <w:rsid w:val="000D4C65"/>
    <w:rsid w:val="000D503D"/>
    <w:rsid w:val="000D5D64"/>
    <w:rsid w:val="000D5E97"/>
    <w:rsid w:val="000D721C"/>
    <w:rsid w:val="000D755B"/>
    <w:rsid w:val="000D7E03"/>
    <w:rsid w:val="000E0024"/>
    <w:rsid w:val="000E1152"/>
    <w:rsid w:val="000E128E"/>
    <w:rsid w:val="000E1695"/>
    <w:rsid w:val="000E1F70"/>
    <w:rsid w:val="000E29C4"/>
    <w:rsid w:val="000E3BE8"/>
    <w:rsid w:val="000E3ED7"/>
    <w:rsid w:val="000E41E9"/>
    <w:rsid w:val="000E4E37"/>
    <w:rsid w:val="000E53BB"/>
    <w:rsid w:val="000E5BCB"/>
    <w:rsid w:val="000E6752"/>
    <w:rsid w:val="000E679E"/>
    <w:rsid w:val="000E73F4"/>
    <w:rsid w:val="000F00BA"/>
    <w:rsid w:val="000F018C"/>
    <w:rsid w:val="000F099A"/>
    <w:rsid w:val="000F0F04"/>
    <w:rsid w:val="000F1906"/>
    <w:rsid w:val="000F25DE"/>
    <w:rsid w:val="000F26E4"/>
    <w:rsid w:val="000F27A9"/>
    <w:rsid w:val="000F2820"/>
    <w:rsid w:val="000F3036"/>
    <w:rsid w:val="000F307F"/>
    <w:rsid w:val="000F34DE"/>
    <w:rsid w:val="000F3DDA"/>
    <w:rsid w:val="000F447C"/>
    <w:rsid w:val="000F5112"/>
    <w:rsid w:val="000F559B"/>
    <w:rsid w:val="000F57A9"/>
    <w:rsid w:val="000F58A4"/>
    <w:rsid w:val="000F5EBD"/>
    <w:rsid w:val="000F6D92"/>
    <w:rsid w:val="000F6FAE"/>
    <w:rsid w:val="000F75B6"/>
    <w:rsid w:val="000F76E4"/>
    <w:rsid w:val="00100B90"/>
    <w:rsid w:val="00101700"/>
    <w:rsid w:val="001019D5"/>
    <w:rsid w:val="001023EE"/>
    <w:rsid w:val="001026A9"/>
    <w:rsid w:val="00103368"/>
    <w:rsid w:val="0010398A"/>
    <w:rsid w:val="00103BB1"/>
    <w:rsid w:val="00103D26"/>
    <w:rsid w:val="00104433"/>
    <w:rsid w:val="00104DEC"/>
    <w:rsid w:val="0011129E"/>
    <w:rsid w:val="00111F8F"/>
    <w:rsid w:val="001121EF"/>
    <w:rsid w:val="00112298"/>
    <w:rsid w:val="00112674"/>
    <w:rsid w:val="00112B21"/>
    <w:rsid w:val="00114E4C"/>
    <w:rsid w:val="00115808"/>
    <w:rsid w:val="00115E64"/>
    <w:rsid w:val="001160BD"/>
    <w:rsid w:val="00116411"/>
    <w:rsid w:val="0011670E"/>
    <w:rsid w:val="00117E81"/>
    <w:rsid w:val="00121465"/>
    <w:rsid w:val="00121FED"/>
    <w:rsid w:val="0012269C"/>
    <w:rsid w:val="0012309B"/>
    <w:rsid w:val="00123974"/>
    <w:rsid w:val="00123A9E"/>
    <w:rsid w:val="00123DC8"/>
    <w:rsid w:val="001241ED"/>
    <w:rsid w:val="001251C8"/>
    <w:rsid w:val="0012563F"/>
    <w:rsid w:val="00125DF9"/>
    <w:rsid w:val="001264C0"/>
    <w:rsid w:val="00126CDD"/>
    <w:rsid w:val="00127AF8"/>
    <w:rsid w:val="00131680"/>
    <w:rsid w:val="0013168B"/>
    <w:rsid w:val="001317B0"/>
    <w:rsid w:val="00132398"/>
    <w:rsid w:val="001332F1"/>
    <w:rsid w:val="001345C6"/>
    <w:rsid w:val="00135A26"/>
    <w:rsid w:val="00136B5E"/>
    <w:rsid w:val="00137974"/>
    <w:rsid w:val="001410FA"/>
    <w:rsid w:val="00141385"/>
    <w:rsid w:val="00141E75"/>
    <w:rsid w:val="00143250"/>
    <w:rsid w:val="001457AC"/>
    <w:rsid w:val="00146E5B"/>
    <w:rsid w:val="00147A32"/>
    <w:rsid w:val="00147AF6"/>
    <w:rsid w:val="00147F3A"/>
    <w:rsid w:val="00150570"/>
    <w:rsid w:val="0015074D"/>
    <w:rsid w:val="00150F61"/>
    <w:rsid w:val="00151830"/>
    <w:rsid w:val="00152302"/>
    <w:rsid w:val="001523B0"/>
    <w:rsid w:val="00152CEF"/>
    <w:rsid w:val="00153455"/>
    <w:rsid w:val="001534EC"/>
    <w:rsid w:val="001543CB"/>
    <w:rsid w:val="0015497F"/>
    <w:rsid w:val="00155068"/>
    <w:rsid w:val="00155F52"/>
    <w:rsid w:val="00156BB9"/>
    <w:rsid w:val="00157A2E"/>
    <w:rsid w:val="00157C36"/>
    <w:rsid w:val="001612AB"/>
    <w:rsid w:val="001612E4"/>
    <w:rsid w:val="00162841"/>
    <w:rsid w:val="00164885"/>
    <w:rsid w:val="0016690B"/>
    <w:rsid w:val="0016690E"/>
    <w:rsid w:val="00167034"/>
    <w:rsid w:val="001703AC"/>
    <w:rsid w:val="0017044E"/>
    <w:rsid w:val="0017053B"/>
    <w:rsid w:val="001706AA"/>
    <w:rsid w:val="0017078C"/>
    <w:rsid w:val="001711EB"/>
    <w:rsid w:val="00171513"/>
    <w:rsid w:val="001719D3"/>
    <w:rsid w:val="001719F9"/>
    <w:rsid w:val="00171BE9"/>
    <w:rsid w:val="00171F91"/>
    <w:rsid w:val="001722AA"/>
    <w:rsid w:val="00172772"/>
    <w:rsid w:val="00172C88"/>
    <w:rsid w:val="00172E8A"/>
    <w:rsid w:val="00173F6C"/>
    <w:rsid w:val="00174939"/>
    <w:rsid w:val="00174D99"/>
    <w:rsid w:val="0017688D"/>
    <w:rsid w:val="001771BB"/>
    <w:rsid w:val="00181187"/>
    <w:rsid w:val="00181CEF"/>
    <w:rsid w:val="00182A0F"/>
    <w:rsid w:val="0018369C"/>
    <w:rsid w:val="001837B0"/>
    <w:rsid w:val="0018467E"/>
    <w:rsid w:val="0018536B"/>
    <w:rsid w:val="001853B8"/>
    <w:rsid w:val="00185C48"/>
    <w:rsid w:val="00185C94"/>
    <w:rsid w:val="001861AD"/>
    <w:rsid w:val="00186BD2"/>
    <w:rsid w:val="00187B89"/>
    <w:rsid w:val="00190DBF"/>
    <w:rsid w:val="001913FB"/>
    <w:rsid w:val="00191C3B"/>
    <w:rsid w:val="0019296A"/>
    <w:rsid w:val="00192F53"/>
    <w:rsid w:val="00192FB7"/>
    <w:rsid w:val="00193650"/>
    <w:rsid w:val="001953F0"/>
    <w:rsid w:val="00195652"/>
    <w:rsid w:val="00195A7C"/>
    <w:rsid w:val="00196297"/>
    <w:rsid w:val="00196BBC"/>
    <w:rsid w:val="00196E59"/>
    <w:rsid w:val="001A0514"/>
    <w:rsid w:val="001A0EAB"/>
    <w:rsid w:val="001A0F9C"/>
    <w:rsid w:val="001A145D"/>
    <w:rsid w:val="001A1782"/>
    <w:rsid w:val="001A19B9"/>
    <w:rsid w:val="001A54CF"/>
    <w:rsid w:val="001A54DB"/>
    <w:rsid w:val="001A6875"/>
    <w:rsid w:val="001A6CCF"/>
    <w:rsid w:val="001A7664"/>
    <w:rsid w:val="001B05A8"/>
    <w:rsid w:val="001B0898"/>
    <w:rsid w:val="001B10AE"/>
    <w:rsid w:val="001B114E"/>
    <w:rsid w:val="001B3B86"/>
    <w:rsid w:val="001B5309"/>
    <w:rsid w:val="001B5F33"/>
    <w:rsid w:val="001B692C"/>
    <w:rsid w:val="001B724F"/>
    <w:rsid w:val="001B79E2"/>
    <w:rsid w:val="001C1835"/>
    <w:rsid w:val="001C1D25"/>
    <w:rsid w:val="001C1D5D"/>
    <w:rsid w:val="001C22D9"/>
    <w:rsid w:val="001C26D3"/>
    <w:rsid w:val="001C39E3"/>
    <w:rsid w:val="001C4238"/>
    <w:rsid w:val="001C4EB4"/>
    <w:rsid w:val="001C6CAC"/>
    <w:rsid w:val="001C7BDC"/>
    <w:rsid w:val="001D0CC0"/>
    <w:rsid w:val="001D0F3D"/>
    <w:rsid w:val="001D14B0"/>
    <w:rsid w:val="001D1542"/>
    <w:rsid w:val="001D1CBC"/>
    <w:rsid w:val="001D225C"/>
    <w:rsid w:val="001D2D7D"/>
    <w:rsid w:val="001D32CF"/>
    <w:rsid w:val="001D32D2"/>
    <w:rsid w:val="001D4BD4"/>
    <w:rsid w:val="001D4D32"/>
    <w:rsid w:val="001D50FE"/>
    <w:rsid w:val="001D5CA7"/>
    <w:rsid w:val="001D61B8"/>
    <w:rsid w:val="001D62CC"/>
    <w:rsid w:val="001D7DE3"/>
    <w:rsid w:val="001D7EEB"/>
    <w:rsid w:val="001E053F"/>
    <w:rsid w:val="001E0F52"/>
    <w:rsid w:val="001E0FB5"/>
    <w:rsid w:val="001E11E5"/>
    <w:rsid w:val="001E12BC"/>
    <w:rsid w:val="001E1552"/>
    <w:rsid w:val="001E1E0B"/>
    <w:rsid w:val="001E2858"/>
    <w:rsid w:val="001E2B2E"/>
    <w:rsid w:val="001E2B70"/>
    <w:rsid w:val="001E2C11"/>
    <w:rsid w:val="001E2FDD"/>
    <w:rsid w:val="001E3154"/>
    <w:rsid w:val="001E3186"/>
    <w:rsid w:val="001E37BC"/>
    <w:rsid w:val="001E3CC9"/>
    <w:rsid w:val="001E5598"/>
    <w:rsid w:val="001E5687"/>
    <w:rsid w:val="001E5B81"/>
    <w:rsid w:val="001E60C2"/>
    <w:rsid w:val="001E6F54"/>
    <w:rsid w:val="001E734E"/>
    <w:rsid w:val="001E7959"/>
    <w:rsid w:val="001E798A"/>
    <w:rsid w:val="001F0B30"/>
    <w:rsid w:val="001F0BCF"/>
    <w:rsid w:val="001F0EED"/>
    <w:rsid w:val="001F1EA0"/>
    <w:rsid w:val="001F20BA"/>
    <w:rsid w:val="001F44B5"/>
    <w:rsid w:val="001F583F"/>
    <w:rsid w:val="001F5B10"/>
    <w:rsid w:val="001F5B4B"/>
    <w:rsid w:val="001F6486"/>
    <w:rsid w:val="001F74D9"/>
    <w:rsid w:val="0020023F"/>
    <w:rsid w:val="002013FD"/>
    <w:rsid w:val="0020140C"/>
    <w:rsid w:val="00202C99"/>
    <w:rsid w:val="002032BD"/>
    <w:rsid w:val="00204374"/>
    <w:rsid w:val="002050B7"/>
    <w:rsid w:val="00205DB0"/>
    <w:rsid w:val="002078B5"/>
    <w:rsid w:val="002078BB"/>
    <w:rsid w:val="00207C8C"/>
    <w:rsid w:val="00207E61"/>
    <w:rsid w:val="00210032"/>
    <w:rsid w:val="002107F1"/>
    <w:rsid w:val="002108B3"/>
    <w:rsid w:val="002112D5"/>
    <w:rsid w:val="0021137B"/>
    <w:rsid w:val="0021161E"/>
    <w:rsid w:val="002123FE"/>
    <w:rsid w:val="002127EF"/>
    <w:rsid w:val="00212AE0"/>
    <w:rsid w:val="00212F03"/>
    <w:rsid w:val="00213C28"/>
    <w:rsid w:val="00213FC2"/>
    <w:rsid w:val="0021434D"/>
    <w:rsid w:val="002146F7"/>
    <w:rsid w:val="00214711"/>
    <w:rsid w:val="0021553C"/>
    <w:rsid w:val="002158E4"/>
    <w:rsid w:val="00216109"/>
    <w:rsid w:val="00216445"/>
    <w:rsid w:val="00216C88"/>
    <w:rsid w:val="00216F80"/>
    <w:rsid w:val="002177E9"/>
    <w:rsid w:val="00217C04"/>
    <w:rsid w:val="00217ED7"/>
    <w:rsid w:val="00221194"/>
    <w:rsid w:val="00221C8A"/>
    <w:rsid w:val="00222503"/>
    <w:rsid w:val="00222539"/>
    <w:rsid w:val="00222DC3"/>
    <w:rsid w:val="002237D1"/>
    <w:rsid w:val="00223B17"/>
    <w:rsid w:val="002242D1"/>
    <w:rsid w:val="00224394"/>
    <w:rsid w:val="0022493F"/>
    <w:rsid w:val="00224F09"/>
    <w:rsid w:val="00224F6A"/>
    <w:rsid w:val="002250C3"/>
    <w:rsid w:val="00225D6F"/>
    <w:rsid w:val="002274EF"/>
    <w:rsid w:val="002278D8"/>
    <w:rsid w:val="00227DD0"/>
    <w:rsid w:val="00227FEE"/>
    <w:rsid w:val="00227FF4"/>
    <w:rsid w:val="00230360"/>
    <w:rsid w:val="0023054A"/>
    <w:rsid w:val="002307D8"/>
    <w:rsid w:val="00230942"/>
    <w:rsid w:val="00230BF2"/>
    <w:rsid w:val="00230C24"/>
    <w:rsid w:val="0023116B"/>
    <w:rsid w:val="0023171C"/>
    <w:rsid w:val="00231765"/>
    <w:rsid w:val="00232013"/>
    <w:rsid w:val="00232016"/>
    <w:rsid w:val="002336AE"/>
    <w:rsid w:val="002337E8"/>
    <w:rsid w:val="00235362"/>
    <w:rsid w:val="0023577A"/>
    <w:rsid w:val="002358E2"/>
    <w:rsid w:val="002377AB"/>
    <w:rsid w:val="002405B2"/>
    <w:rsid w:val="002411AC"/>
    <w:rsid w:val="00241353"/>
    <w:rsid w:val="00241CDD"/>
    <w:rsid w:val="00242719"/>
    <w:rsid w:val="00243BF9"/>
    <w:rsid w:val="00243FC8"/>
    <w:rsid w:val="0024429E"/>
    <w:rsid w:val="00244408"/>
    <w:rsid w:val="00244676"/>
    <w:rsid w:val="00244ADB"/>
    <w:rsid w:val="0024541B"/>
    <w:rsid w:val="0024634D"/>
    <w:rsid w:val="002467E0"/>
    <w:rsid w:val="00246D6A"/>
    <w:rsid w:val="00246F91"/>
    <w:rsid w:val="002479F5"/>
    <w:rsid w:val="00247E66"/>
    <w:rsid w:val="00250514"/>
    <w:rsid w:val="002528E5"/>
    <w:rsid w:val="002529AF"/>
    <w:rsid w:val="00252C1E"/>
    <w:rsid w:val="00253586"/>
    <w:rsid w:val="00253674"/>
    <w:rsid w:val="0025369A"/>
    <w:rsid w:val="0025377F"/>
    <w:rsid w:val="00253951"/>
    <w:rsid w:val="0025398E"/>
    <w:rsid w:val="002543BE"/>
    <w:rsid w:val="00254F03"/>
    <w:rsid w:val="0025559D"/>
    <w:rsid w:val="00255AF8"/>
    <w:rsid w:val="00255C33"/>
    <w:rsid w:val="00256270"/>
    <w:rsid w:val="002564BA"/>
    <w:rsid w:val="0025664C"/>
    <w:rsid w:val="00260A75"/>
    <w:rsid w:val="00260FD2"/>
    <w:rsid w:val="00261593"/>
    <w:rsid w:val="00261DF2"/>
    <w:rsid w:val="0026245F"/>
    <w:rsid w:val="00262934"/>
    <w:rsid w:val="00262962"/>
    <w:rsid w:val="00262A6B"/>
    <w:rsid w:val="00263A36"/>
    <w:rsid w:val="00264158"/>
    <w:rsid w:val="00264503"/>
    <w:rsid w:val="00265F5E"/>
    <w:rsid w:val="00266BB7"/>
    <w:rsid w:val="00271E3F"/>
    <w:rsid w:val="00272091"/>
    <w:rsid w:val="002720C2"/>
    <w:rsid w:val="0027264F"/>
    <w:rsid w:val="0027294E"/>
    <w:rsid w:val="00272CFE"/>
    <w:rsid w:val="00272DC1"/>
    <w:rsid w:val="002738B8"/>
    <w:rsid w:val="00273DB5"/>
    <w:rsid w:val="00274D1B"/>
    <w:rsid w:val="00275302"/>
    <w:rsid w:val="002757FE"/>
    <w:rsid w:val="00276D46"/>
    <w:rsid w:val="00276E14"/>
    <w:rsid w:val="00277B97"/>
    <w:rsid w:val="00277F11"/>
    <w:rsid w:val="002806D4"/>
    <w:rsid w:val="0028108C"/>
    <w:rsid w:val="00281B28"/>
    <w:rsid w:val="0028299B"/>
    <w:rsid w:val="00282B9A"/>
    <w:rsid w:val="002835F9"/>
    <w:rsid w:val="00284459"/>
    <w:rsid w:val="0028492D"/>
    <w:rsid w:val="00284CAB"/>
    <w:rsid w:val="0028654B"/>
    <w:rsid w:val="0028688E"/>
    <w:rsid w:val="00286B18"/>
    <w:rsid w:val="002902AF"/>
    <w:rsid w:val="00290F07"/>
    <w:rsid w:val="00291294"/>
    <w:rsid w:val="002919F0"/>
    <w:rsid w:val="00291B4A"/>
    <w:rsid w:val="002920FA"/>
    <w:rsid w:val="0029239B"/>
    <w:rsid w:val="002923C1"/>
    <w:rsid w:val="0029257D"/>
    <w:rsid w:val="002933FE"/>
    <w:rsid w:val="002934EE"/>
    <w:rsid w:val="0029362B"/>
    <w:rsid w:val="00294223"/>
    <w:rsid w:val="002947BB"/>
    <w:rsid w:val="00294D90"/>
    <w:rsid w:val="00294F59"/>
    <w:rsid w:val="0029664A"/>
    <w:rsid w:val="002967EE"/>
    <w:rsid w:val="00297217"/>
    <w:rsid w:val="00297818"/>
    <w:rsid w:val="002A05A1"/>
    <w:rsid w:val="002A0983"/>
    <w:rsid w:val="002A1295"/>
    <w:rsid w:val="002A179A"/>
    <w:rsid w:val="002A1FD7"/>
    <w:rsid w:val="002A380E"/>
    <w:rsid w:val="002A3B09"/>
    <w:rsid w:val="002A4D73"/>
    <w:rsid w:val="002A6024"/>
    <w:rsid w:val="002A64A7"/>
    <w:rsid w:val="002A6ACD"/>
    <w:rsid w:val="002A6E9D"/>
    <w:rsid w:val="002A743E"/>
    <w:rsid w:val="002A7736"/>
    <w:rsid w:val="002A78BD"/>
    <w:rsid w:val="002A7BB3"/>
    <w:rsid w:val="002B02C3"/>
    <w:rsid w:val="002B097C"/>
    <w:rsid w:val="002B1493"/>
    <w:rsid w:val="002B1FB3"/>
    <w:rsid w:val="002B26D7"/>
    <w:rsid w:val="002B3E89"/>
    <w:rsid w:val="002B3F5C"/>
    <w:rsid w:val="002B4579"/>
    <w:rsid w:val="002B461E"/>
    <w:rsid w:val="002B491F"/>
    <w:rsid w:val="002B4D30"/>
    <w:rsid w:val="002B4E41"/>
    <w:rsid w:val="002B6479"/>
    <w:rsid w:val="002B6906"/>
    <w:rsid w:val="002B6BDD"/>
    <w:rsid w:val="002B6F24"/>
    <w:rsid w:val="002B7071"/>
    <w:rsid w:val="002C009A"/>
    <w:rsid w:val="002C08FA"/>
    <w:rsid w:val="002C17CA"/>
    <w:rsid w:val="002C191D"/>
    <w:rsid w:val="002C1C46"/>
    <w:rsid w:val="002C2320"/>
    <w:rsid w:val="002C2380"/>
    <w:rsid w:val="002C2CED"/>
    <w:rsid w:val="002C2DDA"/>
    <w:rsid w:val="002C3478"/>
    <w:rsid w:val="002C435F"/>
    <w:rsid w:val="002C438E"/>
    <w:rsid w:val="002C43EA"/>
    <w:rsid w:val="002C464C"/>
    <w:rsid w:val="002C4D79"/>
    <w:rsid w:val="002C4EC3"/>
    <w:rsid w:val="002C55AE"/>
    <w:rsid w:val="002C6AF3"/>
    <w:rsid w:val="002C765E"/>
    <w:rsid w:val="002C76F8"/>
    <w:rsid w:val="002C7E52"/>
    <w:rsid w:val="002D03F8"/>
    <w:rsid w:val="002D0E17"/>
    <w:rsid w:val="002D13C3"/>
    <w:rsid w:val="002D16D8"/>
    <w:rsid w:val="002D1AD0"/>
    <w:rsid w:val="002D208F"/>
    <w:rsid w:val="002D28AE"/>
    <w:rsid w:val="002D2AFA"/>
    <w:rsid w:val="002D3244"/>
    <w:rsid w:val="002D3E5C"/>
    <w:rsid w:val="002D41A2"/>
    <w:rsid w:val="002D477A"/>
    <w:rsid w:val="002D4AB0"/>
    <w:rsid w:val="002D5C08"/>
    <w:rsid w:val="002D6025"/>
    <w:rsid w:val="002D68C7"/>
    <w:rsid w:val="002D6DEA"/>
    <w:rsid w:val="002D6E33"/>
    <w:rsid w:val="002D76C2"/>
    <w:rsid w:val="002D79E7"/>
    <w:rsid w:val="002D7BBB"/>
    <w:rsid w:val="002E101F"/>
    <w:rsid w:val="002E1039"/>
    <w:rsid w:val="002E2888"/>
    <w:rsid w:val="002E2E95"/>
    <w:rsid w:val="002E42E5"/>
    <w:rsid w:val="002E4784"/>
    <w:rsid w:val="002E4E66"/>
    <w:rsid w:val="002E4F15"/>
    <w:rsid w:val="002E5528"/>
    <w:rsid w:val="002E5D7E"/>
    <w:rsid w:val="002E5EF0"/>
    <w:rsid w:val="002E63C4"/>
    <w:rsid w:val="002E66BD"/>
    <w:rsid w:val="002E6A93"/>
    <w:rsid w:val="002E7367"/>
    <w:rsid w:val="002E7EA4"/>
    <w:rsid w:val="002F039E"/>
    <w:rsid w:val="002F1115"/>
    <w:rsid w:val="002F1FC5"/>
    <w:rsid w:val="002F2004"/>
    <w:rsid w:val="002F2889"/>
    <w:rsid w:val="002F2AB8"/>
    <w:rsid w:val="002F2B5B"/>
    <w:rsid w:val="002F2FF3"/>
    <w:rsid w:val="002F32D4"/>
    <w:rsid w:val="002F3659"/>
    <w:rsid w:val="002F3CCD"/>
    <w:rsid w:val="002F40C6"/>
    <w:rsid w:val="002F414A"/>
    <w:rsid w:val="002F4841"/>
    <w:rsid w:val="002F4912"/>
    <w:rsid w:val="002F51AE"/>
    <w:rsid w:val="002F52A8"/>
    <w:rsid w:val="002F59ED"/>
    <w:rsid w:val="002F5EA5"/>
    <w:rsid w:val="002F6327"/>
    <w:rsid w:val="002F67B3"/>
    <w:rsid w:val="002F68CB"/>
    <w:rsid w:val="002F6A05"/>
    <w:rsid w:val="002F6D8D"/>
    <w:rsid w:val="003002C2"/>
    <w:rsid w:val="003026F8"/>
    <w:rsid w:val="00302764"/>
    <w:rsid w:val="00302C76"/>
    <w:rsid w:val="00303389"/>
    <w:rsid w:val="0030449E"/>
    <w:rsid w:val="00305030"/>
    <w:rsid w:val="00305206"/>
    <w:rsid w:val="00305325"/>
    <w:rsid w:val="00305C6C"/>
    <w:rsid w:val="00305CBE"/>
    <w:rsid w:val="00305DA3"/>
    <w:rsid w:val="003110C2"/>
    <w:rsid w:val="003113AA"/>
    <w:rsid w:val="00311891"/>
    <w:rsid w:val="003124DA"/>
    <w:rsid w:val="00312D4A"/>
    <w:rsid w:val="00313087"/>
    <w:rsid w:val="0031374A"/>
    <w:rsid w:val="00313F79"/>
    <w:rsid w:val="00314F19"/>
    <w:rsid w:val="003151F9"/>
    <w:rsid w:val="00315C07"/>
    <w:rsid w:val="00315D8F"/>
    <w:rsid w:val="003164D1"/>
    <w:rsid w:val="00317E2A"/>
    <w:rsid w:val="003200A0"/>
    <w:rsid w:val="003205EF"/>
    <w:rsid w:val="00320C97"/>
    <w:rsid w:val="00320D88"/>
    <w:rsid w:val="003211CE"/>
    <w:rsid w:val="00321C8D"/>
    <w:rsid w:val="00321F61"/>
    <w:rsid w:val="003227F6"/>
    <w:rsid w:val="00322977"/>
    <w:rsid w:val="00322AE1"/>
    <w:rsid w:val="00322B74"/>
    <w:rsid w:val="00322C4E"/>
    <w:rsid w:val="003242B9"/>
    <w:rsid w:val="00324D4D"/>
    <w:rsid w:val="00325217"/>
    <w:rsid w:val="0032526F"/>
    <w:rsid w:val="00325E11"/>
    <w:rsid w:val="00326B4D"/>
    <w:rsid w:val="00327373"/>
    <w:rsid w:val="00327ECF"/>
    <w:rsid w:val="003300B9"/>
    <w:rsid w:val="00330D3C"/>
    <w:rsid w:val="00330DD4"/>
    <w:rsid w:val="00330F76"/>
    <w:rsid w:val="0033163F"/>
    <w:rsid w:val="00331A12"/>
    <w:rsid w:val="00331F5C"/>
    <w:rsid w:val="003329E4"/>
    <w:rsid w:val="00332A52"/>
    <w:rsid w:val="00332B22"/>
    <w:rsid w:val="00333001"/>
    <w:rsid w:val="00333739"/>
    <w:rsid w:val="00333902"/>
    <w:rsid w:val="0033541E"/>
    <w:rsid w:val="00336C8B"/>
    <w:rsid w:val="00337CF1"/>
    <w:rsid w:val="00340517"/>
    <w:rsid w:val="00340CE1"/>
    <w:rsid w:val="003410F7"/>
    <w:rsid w:val="00341F91"/>
    <w:rsid w:val="003420BC"/>
    <w:rsid w:val="0034358F"/>
    <w:rsid w:val="00343E49"/>
    <w:rsid w:val="0034402E"/>
    <w:rsid w:val="0034550B"/>
    <w:rsid w:val="00345891"/>
    <w:rsid w:val="003460F8"/>
    <w:rsid w:val="003469D1"/>
    <w:rsid w:val="003479DA"/>
    <w:rsid w:val="003500D7"/>
    <w:rsid w:val="003506E3"/>
    <w:rsid w:val="00350942"/>
    <w:rsid w:val="00352686"/>
    <w:rsid w:val="003526D2"/>
    <w:rsid w:val="00352866"/>
    <w:rsid w:val="00352EBE"/>
    <w:rsid w:val="003539F3"/>
    <w:rsid w:val="003551B4"/>
    <w:rsid w:val="00355AB1"/>
    <w:rsid w:val="00357A60"/>
    <w:rsid w:val="00357ECF"/>
    <w:rsid w:val="00360C96"/>
    <w:rsid w:val="00361112"/>
    <w:rsid w:val="003614DE"/>
    <w:rsid w:val="003616D7"/>
    <w:rsid w:val="00362F38"/>
    <w:rsid w:val="0036341F"/>
    <w:rsid w:val="00363717"/>
    <w:rsid w:val="00363B58"/>
    <w:rsid w:val="0036437A"/>
    <w:rsid w:val="00364A15"/>
    <w:rsid w:val="003655C7"/>
    <w:rsid w:val="003658BF"/>
    <w:rsid w:val="00365905"/>
    <w:rsid w:val="00365979"/>
    <w:rsid w:val="00365B9F"/>
    <w:rsid w:val="0036699F"/>
    <w:rsid w:val="003677DB"/>
    <w:rsid w:val="00370200"/>
    <w:rsid w:val="0037110D"/>
    <w:rsid w:val="00371ECF"/>
    <w:rsid w:val="00372037"/>
    <w:rsid w:val="00372416"/>
    <w:rsid w:val="00373342"/>
    <w:rsid w:val="0037363B"/>
    <w:rsid w:val="00374127"/>
    <w:rsid w:val="003741A1"/>
    <w:rsid w:val="0037525D"/>
    <w:rsid w:val="003760AF"/>
    <w:rsid w:val="003760D9"/>
    <w:rsid w:val="003761DD"/>
    <w:rsid w:val="00376D9E"/>
    <w:rsid w:val="00376F7D"/>
    <w:rsid w:val="00377891"/>
    <w:rsid w:val="00377C28"/>
    <w:rsid w:val="00380880"/>
    <w:rsid w:val="00380E8F"/>
    <w:rsid w:val="003815E9"/>
    <w:rsid w:val="00381873"/>
    <w:rsid w:val="00381903"/>
    <w:rsid w:val="00382008"/>
    <w:rsid w:val="00382AEA"/>
    <w:rsid w:val="00382E9F"/>
    <w:rsid w:val="0038317C"/>
    <w:rsid w:val="00383627"/>
    <w:rsid w:val="00383854"/>
    <w:rsid w:val="00384F5E"/>
    <w:rsid w:val="003850E9"/>
    <w:rsid w:val="00385295"/>
    <w:rsid w:val="00386337"/>
    <w:rsid w:val="0038776C"/>
    <w:rsid w:val="00390F8C"/>
    <w:rsid w:val="00391963"/>
    <w:rsid w:val="00392B6E"/>
    <w:rsid w:val="00392DC9"/>
    <w:rsid w:val="00392FF4"/>
    <w:rsid w:val="00393475"/>
    <w:rsid w:val="00393B97"/>
    <w:rsid w:val="003948BC"/>
    <w:rsid w:val="00394A3D"/>
    <w:rsid w:val="0039571D"/>
    <w:rsid w:val="00395926"/>
    <w:rsid w:val="00395C32"/>
    <w:rsid w:val="00395F44"/>
    <w:rsid w:val="00396280"/>
    <w:rsid w:val="00396C62"/>
    <w:rsid w:val="00396FBF"/>
    <w:rsid w:val="003A1196"/>
    <w:rsid w:val="003A1E60"/>
    <w:rsid w:val="003A1EC2"/>
    <w:rsid w:val="003A227C"/>
    <w:rsid w:val="003A22CB"/>
    <w:rsid w:val="003A2863"/>
    <w:rsid w:val="003A2BA8"/>
    <w:rsid w:val="003A37FD"/>
    <w:rsid w:val="003A3E76"/>
    <w:rsid w:val="003A4BB9"/>
    <w:rsid w:val="003A4CB4"/>
    <w:rsid w:val="003A548B"/>
    <w:rsid w:val="003A56D5"/>
    <w:rsid w:val="003A5EC7"/>
    <w:rsid w:val="003A62DC"/>
    <w:rsid w:val="003A669D"/>
    <w:rsid w:val="003A6723"/>
    <w:rsid w:val="003A67B3"/>
    <w:rsid w:val="003A7C0B"/>
    <w:rsid w:val="003B008A"/>
    <w:rsid w:val="003B0601"/>
    <w:rsid w:val="003B19BD"/>
    <w:rsid w:val="003B2DD0"/>
    <w:rsid w:val="003B3025"/>
    <w:rsid w:val="003B3399"/>
    <w:rsid w:val="003B4F22"/>
    <w:rsid w:val="003B509D"/>
    <w:rsid w:val="003B773B"/>
    <w:rsid w:val="003C022C"/>
    <w:rsid w:val="003C11C3"/>
    <w:rsid w:val="003C2C6D"/>
    <w:rsid w:val="003C343E"/>
    <w:rsid w:val="003C370F"/>
    <w:rsid w:val="003C3FCF"/>
    <w:rsid w:val="003C4ADD"/>
    <w:rsid w:val="003C4B92"/>
    <w:rsid w:val="003C4FB3"/>
    <w:rsid w:val="003C54CA"/>
    <w:rsid w:val="003C6451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BE2"/>
    <w:rsid w:val="003D16BA"/>
    <w:rsid w:val="003D19DA"/>
    <w:rsid w:val="003D1CBD"/>
    <w:rsid w:val="003D24FF"/>
    <w:rsid w:val="003D28BD"/>
    <w:rsid w:val="003D3092"/>
    <w:rsid w:val="003D34A9"/>
    <w:rsid w:val="003D3698"/>
    <w:rsid w:val="003D4C85"/>
    <w:rsid w:val="003D5139"/>
    <w:rsid w:val="003D5AB2"/>
    <w:rsid w:val="003D5FD9"/>
    <w:rsid w:val="003D6D1E"/>
    <w:rsid w:val="003E0E21"/>
    <w:rsid w:val="003E1972"/>
    <w:rsid w:val="003E237E"/>
    <w:rsid w:val="003E2FDF"/>
    <w:rsid w:val="003E4B54"/>
    <w:rsid w:val="003E5F60"/>
    <w:rsid w:val="003F0212"/>
    <w:rsid w:val="003F08C8"/>
    <w:rsid w:val="003F0FF3"/>
    <w:rsid w:val="003F1A70"/>
    <w:rsid w:val="003F2406"/>
    <w:rsid w:val="003F366F"/>
    <w:rsid w:val="003F3F67"/>
    <w:rsid w:val="003F4304"/>
    <w:rsid w:val="003F491E"/>
    <w:rsid w:val="003F62A0"/>
    <w:rsid w:val="003F666E"/>
    <w:rsid w:val="003F71D1"/>
    <w:rsid w:val="003F7210"/>
    <w:rsid w:val="0040065C"/>
    <w:rsid w:val="00400CBA"/>
    <w:rsid w:val="004011B6"/>
    <w:rsid w:val="004014C0"/>
    <w:rsid w:val="004017C1"/>
    <w:rsid w:val="00401931"/>
    <w:rsid w:val="00401CBE"/>
    <w:rsid w:val="0040276F"/>
    <w:rsid w:val="00402BB9"/>
    <w:rsid w:val="004033F4"/>
    <w:rsid w:val="00403B01"/>
    <w:rsid w:val="00404F0C"/>
    <w:rsid w:val="0040521A"/>
    <w:rsid w:val="00407CC4"/>
    <w:rsid w:val="00411148"/>
    <w:rsid w:val="004113BF"/>
    <w:rsid w:val="004116FC"/>
    <w:rsid w:val="0041287E"/>
    <w:rsid w:val="0041299C"/>
    <w:rsid w:val="00413029"/>
    <w:rsid w:val="004141E1"/>
    <w:rsid w:val="004142C2"/>
    <w:rsid w:val="0041465A"/>
    <w:rsid w:val="00414C67"/>
    <w:rsid w:val="00414FFE"/>
    <w:rsid w:val="00415414"/>
    <w:rsid w:val="00415558"/>
    <w:rsid w:val="0041630D"/>
    <w:rsid w:val="004164B2"/>
    <w:rsid w:val="00417A4E"/>
    <w:rsid w:val="00421216"/>
    <w:rsid w:val="0042168A"/>
    <w:rsid w:val="00421966"/>
    <w:rsid w:val="004225D1"/>
    <w:rsid w:val="00422F0E"/>
    <w:rsid w:val="004233E6"/>
    <w:rsid w:val="00423592"/>
    <w:rsid w:val="00423900"/>
    <w:rsid w:val="0042487D"/>
    <w:rsid w:val="00424E79"/>
    <w:rsid w:val="00426770"/>
    <w:rsid w:val="004268AE"/>
    <w:rsid w:val="00430380"/>
    <w:rsid w:val="00430809"/>
    <w:rsid w:val="00430A5A"/>
    <w:rsid w:val="00430CD8"/>
    <w:rsid w:val="00431597"/>
    <w:rsid w:val="0043205A"/>
    <w:rsid w:val="004325D0"/>
    <w:rsid w:val="0043323A"/>
    <w:rsid w:val="004335C2"/>
    <w:rsid w:val="00433B01"/>
    <w:rsid w:val="00433C5C"/>
    <w:rsid w:val="00433F24"/>
    <w:rsid w:val="004343F2"/>
    <w:rsid w:val="00434436"/>
    <w:rsid w:val="00434F8A"/>
    <w:rsid w:val="00435322"/>
    <w:rsid w:val="00435365"/>
    <w:rsid w:val="00436FB5"/>
    <w:rsid w:val="00437A03"/>
    <w:rsid w:val="00437CA9"/>
    <w:rsid w:val="004405B9"/>
    <w:rsid w:val="00440708"/>
    <w:rsid w:val="0044116C"/>
    <w:rsid w:val="004420D4"/>
    <w:rsid w:val="004421A1"/>
    <w:rsid w:val="0044238B"/>
    <w:rsid w:val="00442FA4"/>
    <w:rsid w:val="0044369F"/>
    <w:rsid w:val="00443700"/>
    <w:rsid w:val="0044406E"/>
    <w:rsid w:val="00444F16"/>
    <w:rsid w:val="0044519B"/>
    <w:rsid w:val="0044570F"/>
    <w:rsid w:val="00445903"/>
    <w:rsid w:val="004465B8"/>
    <w:rsid w:val="00447160"/>
    <w:rsid w:val="00447221"/>
    <w:rsid w:val="004475DF"/>
    <w:rsid w:val="00447AB4"/>
    <w:rsid w:val="00447EB6"/>
    <w:rsid w:val="0045033A"/>
    <w:rsid w:val="004504DB"/>
    <w:rsid w:val="00450C82"/>
    <w:rsid w:val="00450ED3"/>
    <w:rsid w:val="00451543"/>
    <w:rsid w:val="00451CFC"/>
    <w:rsid w:val="00452086"/>
    <w:rsid w:val="004527A8"/>
    <w:rsid w:val="0045296F"/>
    <w:rsid w:val="00452A13"/>
    <w:rsid w:val="00454850"/>
    <w:rsid w:val="004548A4"/>
    <w:rsid w:val="004548B6"/>
    <w:rsid w:val="004551AB"/>
    <w:rsid w:val="00455711"/>
    <w:rsid w:val="004557A4"/>
    <w:rsid w:val="0045599E"/>
    <w:rsid w:val="00455B33"/>
    <w:rsid w:val="00455EBE"/>
    <w:rsid w:val="0045628D"/>
    <w:rsid w:val="00457444"/>
    <w:rsid w:val="00457E4B"/>
    <w:rsid w:val="00460BA5"/>
    <w:rsid w:val="00461566"/>
    <w:rsid w:val="00461611"/>
    <w:rsid w:val="00462070"/>
    <w:rsid w:val="00462482"/>
    <w:rsid w:val="00462672"/>
    <w:rsid w:val="00462D64"/>
    <w:rsid w:val="004633A2"/>
    <w:rsid w:val="00464713"/>
    <w:rsid w:val="00464A4C"/>
    <w:rsid w:val="00464FC2"/>
    <w:rsid w:val="004671F7"/>
    <w:rsid w:val="00467211"/>
    <w:rsid w:val="004678CF"/>
    <w:rsid w:val="00470C50"/>
    <w:rsid w:val="00470CC0"/>
    <w:rsid w:val="004714E5"/>
    <w:rsid w:val="00471FD9"/>
    <w:rsid w:val="004720A6"/>
    <w:rsid w:val="00472663"/>
    <w:rsid w:val="004726C8"/>
    <w:rsid w:val="00473644"/>
    <w:rsid w:val="00473D7C"/>
    <w:rsid w:val="00473F58"/>
    <w:rsid w:val="004745D1"/>
    <w:rsid w:val="004748C5"/>
    <w:rsid w:val="004751A4"/>
    <w:rsid w:val="00475762"/>
    <w:rsid w:val="0047605F"/>
    <w:rsid w:val="0047675C"/>
    <w:rsid w:val="0048167B"/>
    <w:rsid w:val="00481B3A"/>
    <w:rsid w:val="0048209C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17C7"/>
    <w:rsid w:val="00491FEB"/>
    <w:rsid w:val="00492777"/>
    <w:rsid w:val="00492C3C"/>
    <w:rsid w:val="00493151"/>
    <w:rsid w:val="00493A06"/>
    <w:rsid w:val="004940CF"/>
    <w:rsid w:val="00494474"/>
    <w:rsid w:val="00494ED5"/>
    <w:rsid w:val="004950EF"/>
    <w:rsid w:val="00495983"/>
    <w:rsid w:val="0049641D"/>
    <w:rsid w:val="0049694D"/>
    <w:rsid w:val="00496CDE"/>
    <w:rsid w:val="00496E42"/>
    <w:rsid w:val="00497201"/>
    <w:rsid w:val="004974B5"/>
    <w:rsid w:val="004977C2"/>
    <w:rsid w:val="00497AB8"/>
    <w:rsid w:val="00497ED9"/>
    <w:rsid w:val="004A050C"/>
    <w:rsid w:val="004A0618"/>
    <w:rsid w:val="004A097F"/>
    <w:rsid w:val="004A0EAB"/>
    <w:rsid w:val="004A141C"/>
    <w:rsid w:val="004A25EE"/>
    <w:rsid w:val="004A2A76"/>
    <w:rsid w:val="004A3A70"/>
    <w:rsid w:val="004A3F01"/>
    <w:rsid w:val="004A4A67"/>
    <w:rsid w:val="004A4B2C"/>
    <w:rsid w:val="004A4D7F"/>
    <w:rsid w:val="004A6472"/>
    <w:rsid w:val="004A6E42"/>
    <w:rsid w:val="004A7BEE"/>
    <w:rsid w:val="004A7CC0"/>
    <w:rsid w:val="004B0040"/>
    <w:rsid w:val="004B0D5F"/>
    <w:rsid w:val="004B0F5C"/>
    <w:rsid w:val="004B10E1"/>
    <w:rsid w:val="004B25B3"/>
    <w:rsid w:val="004B2760"/>
    <w:rsid w:val="004B3894"/>
    <w:rsid w:val="004B3C7B"/>
    <w:rsid w:val="004B3FF8"/>
    <w:rsid w:val="004B505F"/>
    <w:rsid w:val="004B51A2"/>
    <w:rsid w:val="004B5575"/>
    <w:rsid w:val="004B6C4E"/>
    <w:rsid w:val="004B794E"/>
    <w:rsid w:val="004C064D"/>
    <w:rsid w:val="004C0660"/>
    <w:rsid w:val="004C0A54"/>
    <w:rsid w:val="004C14FC"/>
    <w:rsid w:val="004C155C"/>
    <w:rsid w:val="004C17D9"/>
    <w:rsid w:val="004C2A48"/>
    <w:rsid w:val="004C33D3"/>
    <w:rsid w:val="004C3579"/>
    <w:rsid w:val="004C36F9"/>
    <w:rsid w:val="004C374A"/>
    <w:rsid w:val="004C46BF"/>
    <w:rsid w:val="004C4E94"/>
    <w:rsid w:val="004C6225"/>
    <w:rsid w:val="004C7C37"/>
    <w:rsid w:val="004D1F1A"/>
    <w:rsid w:val="004D2523"/>
    <w:rsid w:val="004D25AE"/>
    <w:rsid w:val="004D3D64"/>
    <w:rsid w:val="004D3FE0"/>
    <w:rsid w:val="004D45D4"/>
    <w:rsid w:val="004D5541"/>
    <w:rsid w:val="004D5F43"/>
    <w:rsid w:val="004D7D0E"/>
    <w:rsid w:val="004E0C40"/>
    <w:rsid w:val="004E161C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E7CE4"/>
    <w:rsid w:val="004E7DCA"/>
    <w:rsid w:val="004F08CA"/>
    <w:rsid w:val="004F0C56"/>
    <w:rsid w:val="004F18F3"/>
    <w:rsid w:val="004F219B"/>
    <w:rsid w:val="004F34CC"/>
    <w:rsid w:val="004F4365"/>
    <w:rsid w:val="004F4B00"/>
    <w:rsid w:val="004F58F7"/>
    <w:rsid w:val="004F5DDA"/>
    <w:rsid w:val="004F6026"/>
    <w:rsid w:val="004F651C"/>
    <w:rsid w:val="004F7236"/>
    <w:rsid w:val="004F782A"/>
    <w:rsid w:val="0050068A"/>
    <w:rsid w:val="00500AA5"/>
    <w:rsid w:val="00501BAB"/>
    <w:rsid w:val="00502656"/>
    <w:rsid w:val="00502A16"/>
    <w:rsid w:val="00502A36"/>
    <w:rsid w:val="00502E96"/>
    <w:rsid w:val="00502EF3"/>
    <w:rsid w:val="005034CE"/>
    <w:rsid w:val="00503A30"/>
    <w:rsid w:val="005041F6"/>
    <w:rsid w:val="00505A3C"/>
    <w:rsid w:val="00505EEF"/>
    <w:rsid w:val="00506D69"/>
    <w:rsid w:val="005076DD"/>
    <w:rsid w:val="00507A5D"/>
    <w:rsid w:val="00507B8B"/>
    <w:rsid w:val="00510B45"/>
    <w:rsid w:val="00512389"/>
    <w:rsid w:val="00513592"/>
    <w:rsid w:val="005137E2"/>
    <w:rsid w:val="00514010"/>
    <w:rsid w:val="0051475F"/>
    <w:rsid w:val="00514E36"/>
    <w:rsid w:val="00515C10"/>
    <w:rsid w:val="00515DD0"/>
    <w:rsid w:val="00517030"/>
    <w:rsid w:val="005171B5"/>
    <w:rsid w:val="00517843"/>
    <w:rsid w:val="00517B85"/>
    <w:rsid w:val="005205EB"/>
    <w:rsid w:val="00520A15"/>
    <w:rsid w:val="00520B96"/>
    <w:rsid w:val="00521540"/>
    <w:rsid w:val="005219AC"/>
    <w:rsid w:val="00521AB3"/>
    <w:rsid w:val="00521C6C"/>
    <w:rsid w:val="00521F3B"/>
    <w:rsid w:val="00522A69"/>
    <w:rsid w:val="00522CE4"/>
    <w:rsid w:val="00523628"/>
    <w:rsid w:val="0052372B"/>
    <w:rsid w:val="00523AB0"/>
    <w:rsid w:val="0052490D"/>
    <w:rsid w:val="0052520C"/>
    <w:rsid w:val="005264C9"/>
    <w:rsid w:val="00526C2D"/>
    <w:rsid w:val="005304A2"/>
    <w:rsid w:val="00530D1B"/>
    <w:rsid w:val="005313C0"/>
    <w:rsid w:val="0053302F"/>
    <w:rsid w:val="005340E3"/>
    <w:rsid w:val="0053558A"/>
    <w:rsid w:val="005358F7"/>
    <w:rsid w:val="0053593D"/>
    <w:rsid w:val="00535C52"/>
    <w:rsid w:val="00535FAC"/>
    <w:rsid w:val="00536106"/>
    <w:rsid w:val="00536564"/>
    <w:rsid w:val="005419F5"/>
    <w:rsid w:val="00541B2E"/>
    <w:rsid w:val="00542950"/>
    <w:rsid w:val="00542966"/>
    <w:rsid w:val="00542B54"/>
    <w:rsid w:val="0054432B"/>
    <w:rsid w:val="00544E3F"/>
    <w:rsid w:val="005454FE"/>
    <w:rsid w:val="00545801"/>
    <w:rsid w:val="005464A2"/>
    <w:rsid w:val="00546DBB"/>
    <w:rsid w:val="00546F97"/>
    <w:rsid w:val="005475BC"/>
    <w:rsid w:val="00547A8D"/>
    <w:rsid w:val="00547E88"/>
    <w:rsid w:val="005505B6"/>
    <w:rsid w:val="00551058"/>
    <w:rsid w:val="00551188"/>
    <w:rsid w:val="0055213D"/>
    <w:rsid w:val="0055265C"/>
    <w:rsid w:val="00553D46"/>
    <w:rsid w:val="005545CC"/>
    <w:rsid w:val="005548CA"/>
    <w:rsid w:val="0055490E"/>
    <w:rsid w:val="005551CA"/>
    <w:rsid w:val="00555FC2"/>
    <w:rsid w:val="005561C3"/>
    <w:rsid w:val="00556800"/>
    <w:rsid w:val="00557B30"/>
    <w:rsid w:val="0056022D"/>
    <w:rsid w:val="005606E0"/>
    <w:rsid w:val="00560894"/>
    <w:rsid w:val="00562BC6"/>
    <w:rsid w:val="00563A90"/>
    <w:rsid w:val="00563DF6"/>
    <w:rsid w:val="00563E25"/>
    <w:rsid w:val="00563F37"/>
    <w:rsid w:val="005642FE"/>
    <w:rsid w:val="00564EAF"/>
    <w:rsid w:val="00565804"/>
    <w:rsid w:val="005662B7"/>
    <w:rsid w:val="0056772D"/>
    <w:rsid w:val="0057176D"/>
    <w:rsid w:val="00571F4A"/>
    <w:rsid w:val="005720DF"/>
    <w:rsid w:val="005722C0"/>
    <w:rsid w:val="0057390D"/>
    <w:rsid w:val="00574DCC"/>
    <w:rsid w:val="00574DEE"/>
    <w:rsid w:val="00575FEB"/>
    <w:rsid w:val="00576436"/>
    <w:rsid w:val="0057654C"/>
    <w:rsid w:val="005769CD"/>
    <w:rsid w:val="00576D1E"/>
    <w:rsid w:val="00576FD6"/>
    <w:rsid w:val="0057742C"/>
    <w:rsid w:val="005774AF"/>
    <w:rsid w:val="00580EA0"/>
    <w:rsid w:val="005826AA"/>
    <w:rsid w:val="005832C1"/>
    <w:rsid w:val="0058341A"/>
    <w:rsid w:val="0058406F"/>
    <w:rsid w:val="00584859"/>
    <w:rsid w:val="00585010"/>
    <w:rsid w:val="00585F40"/>
    <w:rsid w:val="00586B36"/>
    <w:rsid w:val="00587789"/>
    <w:rsid w:val="00587992"/>
    <w:rsid w:val="00587E17"/>
    <w:rsid w:val="0059075D"/>
    <w:rsid w:val="005923BA"/>
    <w:rsid w:val="005924B8"/>
    <w:rsid w:val="005926B7"/>
    <w:rsid w:val="00593D14"/>
    <w:rsid w:val="005942FB"/>
    <w:rsid w:val="00594315"/>
    <w:rsid w:val="0059450B"/>
    <w:rsid w:val="00594778"/>
    <w:rsid w:val="00594980"/>
    <w:rsid w:val="00594C9B"/>
    <w:rsid w:val="005960FD"/>
    <w:rsid w:val="005969D5"/>
    <w:rsid w:val="00596A97"/>
    <w:rsid w:val="00596D39"/>
    <w:rsid w:val="00596E06"/>
    <w:rsid w:val="005A0974"/>
    <w:rsid w:val="005A0B2B"/>
    <w:rsid w:val="005A0E4E"/>
    <w:rsid w:val="005A1668"/>
    <w:rsid w:val="005A1C5E"/>
    <w:rsid w:val="005A1D1C"/>
    <w:rsid w:val="005A3054"/>
    <w:rsid w:val="005A3A3A"/>
    <w:rsid w:val="005A3CC9"/>
    <w:rsid w:val="005A3E71"/>
    <w:rsid w:val="005A5164"/>
    <w:rsid w:val="005A55AC"/>
    <w:rsid w:val="005A57A8"/>
    <w:rsid w:val="005A58CC"/>
    <w:rsid w:val="005A590D"/>
    <w:rsid w:val="005A6508"/>
    <w:rsid w:val="005A65B9"/>
    <w:rsid w:val="005A6D03"/>
    <w:rsid w:val="005A7B1D"/>
    <w:rsid w:val="005B0953"/>
    <w:rsid w:val="005B0C74"/>
    <w:rsid w:val="005B100E"/>
    <w:rsid w:val="005B2268"/>
    <w:rsid w:val="005B30F9"/>
    <w:rsid w:val="005B3246"/>
    <w:rsid w:val="005B3931"/>
    <w:rsid w:val="005B4B6D"/>
    <w:rsid w:val="005B4FEB"/>
    <w:rsid w:val="005B7A59"/>
    <w:rsid w:val="005B7CDC"/>
    <w:rsid w:val="005C0239"/>
    <w:rsid w:val="005C0B33"/>
    <w:rsid w:val="005C0BA8"/>
    <w:rsid w:val="005C15C2"/>
    <w:rsid w:val="005C2461"/>
    <w:rsid w:val="005C2B19"/>
    <w:rsid w:val="005C303C"/>
    <w:rsid w:val="005C3A01"/>
    <w:rsid w:val="005C3ED7"/>
    <w:rsid w:val="005C4301"/>
    <w:rsid w:val="005C5F74"/>
    <w:rsid w:val="005C6853"/>
    <w:rsid w:val="005C745E"/>
    <w:rsid w:val="005C7641"/>
    <w:rsid w:val="005C7BA7"/>
    <w:rsid w:val="005C7C7D"/>
    <w:rsid w:val="005C7E30"/>
    <w:rsid w:val="005C7EEF"/>
    <w:rsid w:val="005D022A"/>
    <w:rsid w:val="005D18CE"/>
    <w:rsid w:val="005D1CA8"/>
    <w:rsid w:val="005D2DA6"/>
    <w:rsid w:val="005D37C7"/>
    <w:rsid w:val="005D4EB6"/>
    <w:rsid w:val="005D51A2"/>
    <w:rsid w:val="005D5D64"/>
    <w:rsid w:val="005D66FD"/>
    <w:rsid w:val="005D6EF3"/>
    <w:rsid w:val="005D7ACF"/>
    <w:rsid w:val="005E01C9"/>
    <w:rsid w:val="005E0ECA"/>
    <w:rsid w:val="005E14CA"/>
    <w:rsid w:val="005E1858"/>
    <w:rsid w:val="005E1C6F"/>
    <w:rsid w:val="005E2420"/>
    <w:rsid w:val="005E2574"/>
    <w:rsid w:val="005E3640"/>
    <w:rsid w:val="005E400E"/>
    <w:rsid w:val="005E4120"/>
    <w:rsid w:val="005E56C7"/>
    <w:rsid w:val="005E6255"/>
    <w:rsid w:val="005E63FE"/>
    <w:rsid w:val="005E66AF"/>
    <w:rsid w:val="005E6F12"/>
    <w:rsid w:val="005E7A1F"/>
    <w:rsid w:val="005F039B"/>
    <w:rsid w:val="005F0903"/>
    <w:rsid w:val="005F092D"/>
    <w:rsid w:val="005F1C04"/>
    <w:rsid w:val="005F1FBB"/>
    <w:rsid w:val="005F21F2"/>
    <w:rsid w:val="005F419B"/>
    <w:rsid w:val="005F7073"/>
    <w:rsid w:val="005F77BC"/>
    <w:rsid w:val="00600306"/>
    <w:rsid w:val="006005F5"/>
    <w:rsid w:val="006014D0"/>
    <w:rsid w:val="00601712"/>
    <w:rsid w:val="00602594"/>
    <w:rsid w:val="00602F45"/>
    <w:rsid w:val="00603028"/>
    <w:rsid w:val="00604CBF"/>
    <w:rsid w:val="00604DDA"/>
    <w:rsid w:val="0060580B"/>
    <w:rsid w:val="00605F0B"/>
    <w:rsid w:val="00610014"/>
    <w:rsid w:val="00610B45"/>
    <w:rsid w:val="00610E3D"/>
    <w:rsid w:val="0061156D"/>
    <w:rsid w:val="0061446B"/>
    <w:rsid w:val="006145B9"/>
    <w:rsid w:val="00614B6A"/>
    <w:rsid w:val="00614DE5"/>
    <w:rsid w:val="00614E2E"/>
    <w:rsid w:val="00615275"/>
    <w:rsid w:val="006152CC"/>
    <w:rsid w:val="0061552C"/>
    <w:rsid w:val="00616A57"/>
    <w:rsid w:val="006175B2"/>
    <w:rsid w:val="006175C3"/>
    <w:rsid w:val="00620300"/>
    <w:rsid w:val="006207A8"/>
    <w:rsid w:val="00620971"/>
    <w:rsid w:val="00620F9E"/>
    <w:rsid w:val="00621136"/>
    <w:rsid w:val="006211ED"/>
    <w:rsid w:val="006218AC"/>
    <w:rsid w:val="00621F20"/>
    <w:rsid w:val="006222F6"/>
    <w:rsid w:val="00622365"/>
    <w:rsid w:val="00622554"/>
    <w:rsid w:val="006233B8"/>
    <w:rsid w:val="006233E6"/>
    <w:rsid w:val="0062363D"/>
    <w:rsid w:val="006246B8"/>
    <w:rsid w:val="00624752"/>
    <w:rsid w:val="00625150"/>
    <w:rsid w:val="006257A1"/>
    <w:rsid w:val="00625BB0"/>
    <w:rsid w:val="0062606E"/>
    <w:rsid w:val="0062613D"/>
    <w:rsid w:val="006271E6"/>
    <w:rsid w:val="006272E8"/>
    <w:rsid w:val="006301E1"/>
    <w:rsid w:val="00630741"/>
    <w:rsid w:val="00630E51"/>
    <w:rsid w:val="00631FFD"/>
    <w:rsid w:val="00632063"/>
    <w:rsid w:val="00632E17"/>
    <w:rsid w:val="0063420D"/>
    <w:rsid w:val="006346C9"/>
    <w:rsid w:val="00634F43"/>
    <w:rsid w:val="00635113"/>
    <w:rsid w:val="00635A99"/>
    <w:rsid w:val="006400FF"/>
    <w:rsid w:val="006402D5"/>
    <w:rsid w:val="006404E6"/>
    <w:rsid w:val="006407B7"/>
    <w:rsid w:val="00640AA2"/>
    <w:rsid w:val="00640BA6"/>
    <w:rsid w:val="00641A6A"/>
    <w:rsid w:val="006420E1"/>
    <w:rsid w:val="0064353A"/>
    <w:rsid w:val="0064540A"/>
    <w:rsid w:val="00645B44"/>
    <w:rsid w:val="00645B6C"/>
    <w:rsid w:val="00646E61"/>
    <w:rsid w:val="00646E69"/>
    <w:rsid w:val="00647295"/>
    <w:rsid w:val="0065004B"/>
    <w:rsid w:val="0065183A"/>
    <w:rsid w:val="0065201B"/>
    <w:rsid w:val="0065204D"/>
    <w:rsid w:val="00652384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57692"/>
    <w:rsid w:val="00660749"/>
    <w:rsid w:val="00660864"/>
    <w:rsid w:val="00661A34"/>
    <w:rsid w:val="00662090"/>
    <w:rsid w:val="00662B0B"/>
    <w:rsid w:val="00662E10"/>
    <w:rsid w:val="00663150"/>
    <w:rsid w:val="00664B80"/>
    <w:rsid w:val="00665201"/>
    <w:rsid w:val="00665534"/>
    <w:rsid w:val="006656D5"/>
    <w:rsid w:val="00665B2D"/>
    <w:rsid w:val="00667AFA"/>
    <w:rsid w:val="00670300"/>
    <w:rsid w:val="00671BDA"/>
    <w:rsid w:val="00672EA0"/>
    <w:rsid w:val="00673153"/>
    <w:rsid w:val="00673282"/>
    <w:rsid w:val="00676890"/>
    <w:rsid w:val="00676CA2"/>
    <w:rsid w:val="0067739A"/>
    <w:rsid w:val="006775DF"/>
    <w:rsid w:val="006800DF"/>
    <w:rsid w:val="00680605"/>
    <w:rsid w:val="00681178"/>
    <w:rsid w:val="006813B8"/>
    <w:rsid w:val="006815B1"/>
    <w:rsid w:val="00682CB9"/>
    <w:rsid w:val="00683296"/>
    <w:rsid w:val="00683978"/>
    <w:rsid w:val="00683A5E"/>
    <w:rsid w:val="00683B9B"/>
    <w:rsid w:val="00684411"/>
    <w:rsid w:val="0068582D"/>
    <w:rsid w:val="006868F5"/>
    <w:rsid w:val="00686926"/>
    <w:rsid w:val="0068717D"/>
    <w:rsid w:val="006872CC"/>
    <w:rsid w:val="0068785F"/>
    <w:rsid w:val="00687E8E"/>
    <w:rsid w:val="006907C4"/>
    <w:rsid w:val="00691FD4"/>
    <w:rsid w:val="006920F4"/>
    <w:rsid w:val="00693FEF"/>
    <w:rsid w:val="00695FF6"/>
    <w:rsid w:val="006973DD"/>
    <w:rsid w:val="006A036A"/>
    <w:rsid w:val="006A046A"/>
    <w:rsid w:val="006A04DC"/>
    <w:rsid w:val="006A0968"/>
    <w:rsid w:val="006A0C4B"/>
    <w:rsid w:val="006A1B99"/>
    <w:rsid w:val="006A1F0B"/>
    <w:rsid w:val="006A2E8A"/>
    <w:rsid w:val="006A3181"/>
    <w:rsid w:val="006A3DF2"/>
    <w:rsid w:val="006A42BE"/>
    <w:rsid w:val="006A46DB"/>
    <w:rsid w:val="006A48C8"/>
    <w:rsid w:val="006A49A4"/>
    <w:rsid w:val="006A4D37"/>
    <w:rsid w:val="006A5072"/>
    <w:rsid w:val="006A50C1"/>
    <w:rsid w:val="006A5C60"/>
    <w:rsid w:val="006A61EF"/>
    <w:rsid w:val="006A6230"/>
    <w:rsid w:val="006A7064"/>
    <w:rsid w:val="006A7B6B"/>
    <w:rsid w:val="006B08D9"/>
    <w:rsid w:val="006B0B30"/>
    <w:rsid w:val="006B1B1F"/>
    <w:rsid w:val="006B1B2A"/>
    <w:rsid w:val="006B1EC6"/>
    <w:rsid w:val="006B28BF"/>
    <w:rsid w:val="006B2A57"/>
    <w:rsid w:val="006B2EF2"/>
    <w:rsid w:val="006B436F"/>
    <w:rsid w:val="006B495F"/>
    <w:rsid w:val="006B499B"/>
    <w:rsid w:val="006B50A2"/>
    <w:rsid w:val="006B5BE1"/>
    <w:rsid w:val="006B6251"/>
    <w:rsid w:val="006B6B50"/>
    <w:rsid w:val="006C0E5D"/>
    <w:rsid w:val="006C1552"/>
    <w:rsid w:val="006C208A"/>
    <w:rsid w:val="006C3232"/>
    <w:rsid w:val="006C3AA8"/>
    <w:rsid w:val="006C413A"/>
    <w:rsid w:val="006C4C31"/>
    <w:rsid w:val="006C5717"/>
    <w:rsid w:val="006C6A6A"/>
    <w:rsid w:val="006C7468"/>
    <w:rsid w:val="006D09A9"/>
    <w:rsid w:val="006D138E"/>
    <w:rsid w:val="006D1DCE"/>
    <w:rsid w:val="006D284B"/>
    <w:rsid w:val="006D37D5"/>
    <w:rsid w:val="006D3CB6"/>
    <w:rsid w:val="006D3DE5"/>
    <w:rsid w:val="006D3FD6"/>
    <w:rsid w:val="006D4D7C"/>
    <w:rsid w:val="006D50B9"/>
    <w:rsid w:val="006D5A19"/>
    <w:rsid w:val="006D641C"/>
    <w:rsid w:val="006D64ED"/>
    <w:rsid w:val="006D6999"/>
    <w:rsid w:val="006D69BF"/>
    <w:rsid w:val="006D746B"/>
    <w:rsid w:val="006D7F64"/>
    <w:rsid w:val="006E0696"/>
    <w:rsid w:val="006E15B8"/>
    <w:rsid w:val="006E1EFE"/>
    <w:rsid w:val="006E23F8"/>
    <w:rsid w:val="006E2614"/>
    <w:rsid w:val="006E30A8"/>
    <w:rsid w:val="006E3A38"/>
    <w:rsid w:val="006E3EE0"/>
    <w:rsid w:val="006E4642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090E"/>
    <w:rsid w:val="006F17C1"/>
    <w:rsid w:val="006F1BC0"/>
    <w:rsid w:val="006F1F2E"/>
    <w:rsid w:val="006F2324"/>
    <w:rsid w:val="006F26F7"/>
    <w:rsid w:val="006F37B4"/>
    <w:rsid w:val="006F385D"/>
    <w:rsid w:val="006F3D9E"/>
    <w:rsid w:val="006F415A"/>
    <w:rsid w:val="006F43E4"/>
    <w:rsid w:val="006F4E35"/>
    <w:rsid w:val="006F5D5E"/>
    <w:rsid w:val="006F6A5F"/>
    <w:rsid w:val="006F6C3C"/>
    <w:rsid w:val="007000C2"/>
    <w:rsid w:val="00700B32"/>
    <w:rsid w:val="00700F4A"/>
    <w:rsid w:val="00702D9C"/>
    <w:rsid w:val="007034DF"/>
    <w:rsid w:val="0070357D"/>
    <w:rsid w:val="00704174"/>
    <w:rsid w:val="0070462C"/>
    <w:rsid w:val="0070553A"/>
    <w:rsid w:val="007055E8"/>
    <w:rsid w:val="00706B0A"/>
    <w:rsid w:val="00706D0C"/>
    <w:rsid w:val="00707438"/>
    <w:rsid w:val="00707A47"/>
    <w:rsid w:val="00710DE5"/>
    <w:rsid w:val="007111F3"/>
    <w:rsid w:val="007114BA"/>
    <w:rsid w:val="007114CD"/>
    <w:rsid w:val="0071151E"/>
    <w:rsid w:val="0071296E"/>
    <w:rsid w:val="00713645"/>
    <w:rsid w:val="00713CDD"/>
    <w:rsid w:val="00714791"/>
    <w:rsid w:val="00714943"/>
    <w:rsid w:val="00714D01"/>
    <w:rsid w:val="00715634"/>
    <w:rsid w:val="007157EE"/>
    <w:rsid w:val="0071584F"/>
    <w:rsid w:val="0071612E"/>
    <w:rsid w:val="00716646"/>
    <w:rsid w:val="00717E0A"/>
    <w:rsid w:val="00720648"/>
    <w:rsid w:val="007209F4"/>
    <w:rsid w:val="00721F12"/>
    <w:rsid w:val="00722B56"/>
    <w:rsid w:val="00723106"/>
    <w:rsid w:val="0072336F"/>
    <w:rsid w:val="00723DE1"/>
    <w:rsid w:val="007243CB"/>
    <w:rsid w:val="00724582"/>
    <w:rsid w:val="0072508E"/>
    <w:rsid w:val="00725481"/>
    <w:rsid w:val="007257B2"/>
    <w:rsid w:val="007261EA"/>
    <w:rsid w:val="00726208"/>
    <w:rsid w:val="00726A50"/>
    <w:rsid w:val="00726C66"/>
    <w:rsid w:val="007275BA"/>
    <w:rsid w:val="007315D5"/>
    <w:rsid w:val="007328C0"/>
    <w:rsid w:val="00732B65"/>
    <w:rsid w:val="007333FD"/>
    <w:rsid w:val="00733B28"/>
    <w:rsid w:val="007341EF"/>
    <w:rsid w:val="00735C18"/>
    <w:rsid w:val="00735D18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2994"/>
    <w:rsid w:val="00743C5D"/>
    <w:rsid w:val="00743F73"/>
    <w:rsid w:val="00744718"/>
    <w:rsid w:val="007452F4"/>
    <w:rsid w:val="0074565B"/>
    <w:rsid w:val="00745A63"/>
    <w:rsid w:val="00745FFE"/>
    <w:rsid w:val="00746052"/>
    <w:rsid w:val="00750ED8"/>
    <w:rsid w:val="0075126A"/>
    <w:rsid w:val="00752E14"/>
    <w:rsid w:val="00754AA4"/>
    <w:rsid w:val="00755983"/>
    <w:rsid w:val="00755FD2"/>
    <w:rsid w:val="00757251"/>
    <w:rsid w:val="007578F5"/>
    <w:rsid w:val="00757A2D"/>
    <w:rsid w:val="00761912"/>
    <w:rsid w:val="007623CD"/>
    <w:rsid w:val="00762918"/>
    <w:rsid w:val="00762BD6"/>
    <w:rsid w:val="00762D66"/>
    <w:rsid w:val="00763BDC"/>
    <w:rsid w:val="00763E2F"/>
    <w:rsid w:val="00764154"/>
    <w:rsid w:val="0076434C"/>
    <w:rsid w:val="00764EB0"/>
    <w:rsid w:val="00765063"/>
    <w:rsid w:val="007657E7"/>
    <w:rsid w:val="00765C4E"/>
    <w:rsid w:val="00765C75"/>
    <w:rsid w:val="0076690C"/>
    <w:rsid w:val="007669D6"/>
    <w:rsid w:val="00767B52"/>
    <w:rsid w:val="00767E42"/>
    <w:rsid w:val="007708AC"/>
    <w:rsid w:val="00771329"/>
    <w:rsid w:val="00771F77"/>
    <w:rsid w:val="00772119"/>
    <w:rsid w:val="00772C37"/>
    <w:rsid w:val="00772E98"/>
    <w:rsid w:val="00773842"/>
    <w:rsid w:val="00774CEB"/>
    <w:rsid w:val="0077512D"/>
    <w:rsid w:val="007762C3"/>
    <w:rsid w:val="0077656C"/>
    <w:rsid w:val="0077662A"/>
    <w:rsid w:val="007767A6"/>
    <w:rsid w:val="00776CC7"/>
    <w:rsid w:val="00777DE8"/>
    <w:rsid w:val="00777EFD"/>
    <w:rsid w:val="007805E4"/>
    <w:rsid w:val="007806CB"/>
    <w:rsid w:val="00780CAB"/>
    <w:rsid w:val="007810F4"/>
    <w:rsid w:val="007817F9"/>
    <w:rsid w:val="0078235D"/>
    <w:rsid w:val="0078304F"/>
    <w:rsid w:val="007839C6"/>
    <w:rsid w:val="00784027"/>
    <w:rsid w:val="00784985"/>
    <w:rsid w:val="00785B2B"/>
    <w:rsid w:val="00786FB4"/>
    <w:rsid w:val="007905A8"/>
    <w:rsid w:val="00791028"/>
    <w:rsid w:val="00791390"/>
    <w:rsid w:val="00791412"/>
    <w:rsid w:val="00791757"/>
    <w:rsid w:val="007919D2"/>
    <w:rsid w:val="00793F78"/>
    <w:rsid w:val="00793F79"/>
    <w:rsid w:val="00794EC3"/>
    <w:rsid w:val="007957BC"/>
    <w:rsid w:val="00796A20"/>
    <w:rsid w:val="007A0C8D"/>
    <w:rsid w:val="007A1CAE"/>
    <w:rsid w:val="007A37F4"/>
    <w:rsid w:val="007A3A69"/>
    <w:rsid w:val="007A46FF"/>
    <w:rsid w:val="007A48A6"/>
    <w:rsid w:val="007A48E5"/>
    <w:rsid w:val="007A571D"/>
    <w:rsid w:val="007A6828"/>
    <w:rsid w:val="007A70DD"/>
    <w:rsid w:val="007B0F7C"/>
    <w:rsid w:val="007B2AFA"/>
    <w:rsid w:val="007B3F95"/>
    <w:rsid w:val="007B4631"/>
    <w:rsid w:val="007B5269"/>
    <w:rsid w:val="007B5D05"/>
    <w:rsid w:val="007B5F88"/>
    <w:rsid w:val="007B7159"/>
    <w:rsid w:val="007B796D"/>
    <w:rsid w:val="007B7C93"/>
    <w:rsid w:val="007B7CC2"/>
    <w:rsid w:val="007B7D78"/>
    <w:rsid w:val="007C0034"/>
    <w:rsid w:val="007C0280"/>
    <w:rsid w:val="007C1D4A"/>
    <w:rsid w:val="007C23AF"/>
    <w:rsid w:val="007C38AB"/>
    <w:rsid w:val="007C4DE1"/>
    <w:rsid w:val="007C5A61"/>
    <w:rsid w:val="007C5E0A"/>
    <w:rsid w:val="007C5EB8"/>
    <w:rsid w:val="007C6B20"/>
    <w:rsid w:val="007C6B29"/>
    <w:rsid w:val="007D0120"/>
    <w:rsid w:val="007D1002"/>
    <w:rsid w:val="007D137E"/>
    <w:rsid w:val="007D1484"/>
    <w:rsid w:val="007D165F"/>
    <w:rsid w:val="007D1821"/>
    <w:rsid w:val="007D4088"/>
    <w:rsid w:val="007D40A3"/>
    <w:rsid w:val="007D4616"/>
    <w:rsid w:val="007D478D"/>
    <w:rsid w:val="007D5213"/>
    <w:rsid w:val="007D6B46"/>
    <w:rsid w:val="007D6C08"/>
    <w:rsid w:val="007D719B"/>
    <w:rsid w:val="007D7A65"/>
    <w:rsid w:val="007E009A"/>
    <w:rsid w:val="007E12D3"/>
    <w:rsid w:val="007E2B32"/>
    <w:rsid w:val="007E2BC9"/>
    <w:rsid w:val="007E3126"/>
    <w:rsid w:val="007E3CDD"/>
    <w:rsid w:val="007E3E1D"/>
    <w:rsid w:val="007E42B1"/>
    <w:rsid w:val="007E42C1"/>
    <w:rsid w:val="007E4378"/>
    <w:rsid w:val="007E44D5"/>
    <w:rsid w:val="007E4B0E"/>
    <w:rsid w:val="007E5ACE"/>
    <w:rsid w:val="007E6B78"/>
    <w:rsid w:val="007E778C"/>
    <w:rsid w:val="007F083A"/>
    <w:rsid w:val="007F085B"/>
    <w:rsid w:val="007F1380"/>
    <w:rsid w:val="007F161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4250"/>
    <w:rsid w:val="007F5E48"/>
    <w:rsid w:val="007F7064"/>
    <w:rsid w:val="007F71A0"/>
    <w:rsid w:val="007F7694"/>
    <w:rsid w:val="007F7B1B"/>
    <w:rsid w:val="007F7ECD"/>
    <w:rsid w:val="00800D3C"/>
    <w:rsid w:val="008010D0"/>
    <w:rsid w:val="00802A37"/>
    <w:rsid w:val="00803193"/>
    <w:rsid w:val="008034BF"/>
    <w:rsid w:val="008035D8"/>
    <w:rsid w:val="00803778"/>
    <w:rsid w:val="00803B55"/>
    <w:rsid w:val="00803BAE"/>
    <w:rsid w:val="00803CC2"/>
    <w:rsid w:val="008049E8"/>
    <w:rsid w:val="00804B85"/>
    <w:rsid w:val="00804E22"/>
    <w:rsid w:val="008059B1"/>
    <w:rsid w:val="00805C78"/>
    <w:rsid w:val="00806033"/>
    <w:rsid w:val="008062DC"/>
    <w:rsid w:val="00807B5D"/>
    <w:rsid w:val="0081004C"/>
    <w:rsid w:val="00810B31"/>
    <w:rsid w:val="00810D75"/>
    <w:rsid w:val="00812409"/>
    <w:rsid w:val="00812536"/>
    <w:rsid w:val="00812762"/>
    <w:rsid w:val="0081331D"/>
    <w:rsid w:val="0081358E"/>
    <w:rsid w:val="008137A3"/>
    <w:rsid w:val="008137ED"/>
    <w:rsid w:val="00813AA9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4053"/>
    <w:rsid w:val="008245DE"/>
    <w:rsid w:val="008254C0"/>
    <w:rsid w:val="00825DB2"/>
    <w:rsid w:val="00826615"/>
    <w:rsid w:val="00826E87"/>
    <w:rsid w:val="0082729C"/>
    <w:rsid w:val="0082791D"/>
    <w:rsid w:val="00827B14"/>
    <w:rsid w:val="0083002F"/>
    <w:rsid w:val="00830791"/>
    <w:rsid w:val="00832420"/>
    <w:rsid w:val="00832559"/>
    <w:rsid w:val="00832D06"/>
    <w:rsid w:val="0083416A"/>
    <w:rsid w:val="008345A6"/>
    <w:rsid w:val="00834942"/>
    <w:rsid w:val="00834C73"/>
    <w:rsid w:val="008363F9"/>
    <w:rsid w:val="00837213"/>
    <w:rsid w:val="0083747F"/>
    <w:rsid w:val="00837521"/>
    <w:rsid w:val="00837F13"/>
    <w:rsid w:val="00840819"/>
    <w:rsid w:val="00840C36"/>
    <w:rsid w:val="00841125"/>
    <w:rsid w:val="0084235D"/>
    <w:rsid w:val="00842715"/>
    <w:rsid w:val="00842B0C"/>
    <w:rsid w:val="00842CC3"/>
    <w:rsid w:val="008436C7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279C"/>
    <w:rsid w:val="00853187"/>
    <w:rsid w:val="00853C17"/>
    <w:rsid w:val="00853E2D"/>
    <w:rsid w:val="00854085"/>
    <w:rsid w:val="00854933"/>
    <w:rsid w:val="00855C4B"/>
    <w:rsid w:val="0085609F"/>
    <w:rsid w:val="00856349"/>
    <w:rsid w:val="008564F9"/>
    <w:rsid w:val="00856537"/>
    <w:rsid w:val="00856EB0"/>
    <w:rsid w:val="0085762E"/>
    <w:rsid w:val="00857FB2"/>
    <w:rsid w:val="0086040D"/>
    <w:rsid w:val="00860E57"/>
    <w:rsid w:val="00861D68"/>
    <w:rsid w:val="00861EDC"/>
    <w:rsid w:val="00862017"/>
    <w:rsid w:val="0086206C"/>
    <w:rsid w:val="00862E84"/>
    <w:rsid w:val="00863776"/>
    <w:rsid w:val="00864173"/>
    <w:rsid w:val="00864360"/>
    <w:rsid w:val="008643A8"/>
    <w:rsid w:val="00865051"/>
    <w:rsid w:val="0086537E"/>
    <w:rsid w:val="00865E38"/>
    <w:rsid w:val="008661A0"/>
    <w:rsid w:val="008662C2"/>
    <w:rsid w:val="0087047A"/>
    <w:rsid w:val="00870B12"/>
    <w:rsid w:val="008719BF"/>
    <w:rsid w:val="00873D53"/>
    <w:rsid w:val="0087448F"/>
    <w:rsid w:val="00874C95"/>
    <w:rsid w:val="008752A1"/>
    <w:rsid w:val="0087598A"/>
    <w:rsid w:val="00876CE0"/>
    <w:rsid w:val="0087784F"/>
    <w:rsid w:val="00880E0F"/>
    <w:rsid w:val="0088105A"/>
    <w:rsid w:val="00881946"/>
    <w:rsid w:val="00881EFC"/>
    <w:rsid w:val="0088304C"/>
    <w:rsid w:val="0088378C"/>
    <w:rsid w:val="00884344"/>
    <w:rsid w:val="00885226"/>
    <w:rsid w:val="008859D4"/>
    <w:rsid w:val="00885C57"/>
    <w:rsid w:val="008861A8"/>
    <w:rsid w:val="008863AC"/>
    <w:rsid w:val="0088686A"/>
    <w:rsid w:val="008868CF"/>
    <w:rsid w:val="00886C6A"/>
    <w:rsid w:val="00886D64"/>
    <w:rsid w:val="00890C22"/>
    <w:rsid w:val="00891920"/>
    <w:rsid w:val="008919D6"/>
    <w:rsid w:val="00891E26"/>
    <w:rsid w:val="00891F25"/>
    <w:rsid w:val="008923F9"/>
    <w:rsid w:val="00892A45"/>
    <w:rsid w:val="00894045"/>
    <w:rsid w:val="0089509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5A3"/>
    <w:rsid w:val="008A18D1"/>
    <w:rsid w:val="008A2A9F"/>
    <w:rsid w:val="008A35F4"/>
    <w:rsid w:val="008A467C"/>
    <w:rsid w:val="008A49DB"/>
    <w:rsid w:val="008A5047"/>
    <w:rsid w:val="008A673E"/>
    <w:rsid w:val="008A765D"/>
    <w:rsid w:val="008A7867"/>
    <w:rsid w:val="008A7D3E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57D9"/>
    <w:rsid w:val="008B65D5"/>
    <w:rsid w:val="008B674E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D69"/>
    <w:rsid w:val="008C5F6E"/>
    <w:rsid w:val="008D0F17"/>
    <w:rsid w:val="008D0F92"/>
    <w:rsid w:val="008D1296"/>
    <w:rsid w:val="008D1428"/>
    <w:rsid w:val="008D1D03"/>
    <w:rsid w:val="008D202B"/>
    <w:rsid w:val="008D2433"/>
    <w:rsid w:val="008D2A81"/>
    <w:rsid w:val="008D2C2A"/>
    <w:rsid w:val="008D34CC"/>
    <w:rsid w:val="008D3D6E"/>
    <w:rsid w:val="008D40AD"/>
    <w:rsid w:val="008D4B39"/>
    <w:rsid w:val="008D4E22"/>
    <w:rsid w:val="008D63F0"/>
    <w:rsid w:val="008D7539"/>
    <w:rsid w:val="008D7D40"/>
    <w:rsid w:val="008E01D0"/>
    <w:rsid w:val="008E0846"/>
    <w:rsid w:val="008E20AE"/>
    <w:rsid w:val="008E257E"/>
    <w:rsid w:val="008E35F1"/>
    <w:rsid w:val="008E3EFE"/>
    <w:rsid w:val="008E5395"/>
    <w:rsid w:val="008E5F7C"/>
    <w:rsid w:val="008E6566"/>
    <w:rsid w:val="008E6A0B"/>
    <w:rsid w:val="008E6D25"/>
    <w:rsid w:val="008E6D2D"/>
    <w:rsid w:val="008E7D1D"/>
    <w:rsid w:val="008E7DE5"/>
    <w:rsid w:val="008F0A63"/>
    <w:rsid w:val="008F1086"/>
    <w:rsid w:val="008F1189"/>
    <w:rsid w:val="008F11EE"/>
    <w:rsid w:val="008F1E86"/>
    <w:rsid w:val="008F2303"/>
    <w:rsid w:val="008F255A"/>
    <w:rsid w:val="008F37CF"/>
    <w:rsid w:val="008F3B4E"/>
    <w:rsid w:val="008F4ECB"/>
    <w:rsid w:val="008F62F3"/>
    <w:rsid w:val="008F70D4"/>
    <w:rsid w:val="008F75F3"/>
    <w:rsid w:val="008F7E11"/>
    <w:rsid w:val="009003FD"/>
    <w:rsid w:val="00900773"/>
    <w:rsid w:val="00900787"/>
    <w:rsid w:val="00900A1E"/>
    <w:rsid w:val="00901974"/>
    <w:rsid w:val="00901CED"/>
    <w:rsid w:val="0090230D"/>
    <w:rsid w:val="00902B0A"/>
    <w:rsid w:val="00902DB0"/>
    <w:rsid w:val="00902F18"/>
    <w:rsid w:val="00903B02"/>
    <w:rsid w:val="0090451C"/>
    <w:rsid w:val="00904A85"/>
    <w:rsid w:val="009051B8"/>
    <w:rsid w:val="0090536A"/>
    <w:rsid w:val="00905500"/>
    <w:rsid w:val="009059B7"/>
    <w:rsid w:val="009064AA"/>
    <w:rsid w:val="00906851"/>
    <w:rsid w:val="0091049C"/>
    <w:rsid w:val="009106F8"/>
    <w:rsid w:val="00910D83"/>
    <w:rsid w:val="0091126E"/>
    <w:rsid w:val="00911BA1"/>
    <w:rsid w:val="00911FF2"/>
    <w:rsid w:val="00912A5C"/>
    <w:rsid w:val="00912BE2"/>
    <w:rsid w:val="0091316A"/>
    <w:rsid w:val="00913AF0"/>
    <w:rsid w:val="00914624"/>
    <w:rsid w:val="00914E7C"/>
    <w:rsid w:val="0091502A"/>
    <w:rsid w:val="00916D33"/>
    <w:rsid w:val="0091701B"/>
    <w:rsid w:val="009177D4"/>
    <w:rsid w:val="00917820"/>
    <w:rsid w:val="0091786E"/>
    <w:rsid w:val="00917B0F"/>
    <w:rsid w:val="00921B3D"/>
    <w:rsid w:val="00921CF0"/>
    <w:rsid w:val="00921EF3"/>
    <w:rsid w:val="0092217C"/>
    <w:rsid w:val="0092258F"/>
    <w:rsid w:val="00922C27"/>
    <w:rsid w:val="00923BF6"/>
    <w:rsid w:val="00926168"/>
    <w:rsid w:val="00926A00"/>
    <w:rsid w:val="009270C7"/>
    <w:rsid w:val="00930490"/>
    <w:rsid w:val="00930A07"/>
    <w:rsid w:val="00930FAE"/>
    <w:rsid w:val="00931B25"/>
    <w:rsid w:val="00931C8C"/>
    <w:rsid w:val="00931EAF"/>
    <w:rsid w:val="009322BD"/>
    <w:rsid w:val="009322CA"/>
    <w:rsid w:val="00933449"/>
    <w:rsid w:val="00933B35"/>
    <w:rsid w:val="009356E4"/>
    <w:rsid w:val="00936266"/>
    <w:rsid w:val="00936685"/>
    <w:rsid w:val="0093678D"/>
    <w:rsid w:val="00937395"/>
    <w:rsid w:val="00937A9A"/>
    <w:rsid w:val="00937AC4"/>
    <w:rsid w:val="00937CEC"/>
    <w:rsid w:val="00937F52"/>
    <w:rsid w:val="00937FEE"/>
    <w:rsid w:val="00940650"/>
    <w:rsid w:val="00941138"/>
    <w:rsid w:val="00943563"/>
    <w:rsid w:val="00944A29"/>
    <w:rsid w:val="00945009"/>
    <w:rsid w:val="009453EF"/>
    <w:rsid w:val="0094547C"/>
    <w:rsid w:val="009456F6"/>
    <w:rsid w:val="0094585E"/>
    <w:rsid w:val="00945896"/>
    <w:rsid w:val="00946110"/>
    <w:rsid w:val="00946CC8"/>
    <w:rsid w:val="00947FE2"/>
    <w:rsid w:val="009505CA"/>
    <w:rsid w:val="0095079E"/>
    <w:rsid w:val="00950809"/>
    <w:rsid w:val="00950D2F"/>
    <w:rsid w:val="00951044"/>
    <w:rsid w:val="009529B4"/>
    <w:rsid w:val="00953132"/>
    <w:rsid w:val="009549DB"/>
    <w:rsid w:val="00954B6F"/>
    <w:rsid w:val="00954F80"/>
    <w:rsid w:val="009560BD"/>
    <w:rsid w:val="0095637E"/>
    <w:rsid w:val="00956566"/>
    <w:rsid w:val="009607B9"/>
    <w:rsid w:val="00960B19"/>
    <w:rsid w:val="00961639"/>
    <w:rsid w:val="00962496"/>
    <w:rsid w:val="009629A1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D19"/>
    <w:rsid w:val="009715AB"/>
    <w:rsid w:val="00972DD8"/>
    <w:rsid w:val="00972F58"/>
    <w:rsid w:val="00973380"/>
    <w:rsid w:val="009735CA"/>
    <w:rsid w:val="00973AD2"/>
    <w:rsid w:val="00973F41"/>
    <w:rsid w:val="0097414F"/>
    <w:rsid w:val="00975324"/>
    <w:rsid w:val="0097562F"/>
    <w:rsid w:val="009757B8"/>
    <w:rsid w:val="00976B42"/>
    <w:rsid w:val="0097722F"/>
    <w:rsid w:val="009806E6"/>
    <w:rsid w:val="00981818"/>
    <w:rsid w:val="00982042"/>
    <w:rsid w:val="0098231F"/>
    <w:rsid w:val="00983A6C"/>
    <w:rsid w:val="00983B16"/>
    <w:rsid w:val="00983CF3"/>
    <w:rsid w:val="0098409C"/>
    <w:rsid w:val="00984D23"/>
    <w:rsid w:val="00984F64"/>
    <w:rsid w:val="0098508B"/>
    <w:rsid w:val="00985E59"/>
    <w:rsid w:val="00985EAC"/>
    <w:rsid w:val="00985F65"/>
    <w:rsid w:val="0098635D"/>
    <w:rsid w:val="00987631"/>
    <w:rsid w:val="00987875"/>
    <w:rsid w:val="00987D30"/>
    <w:rsid w:val="00987FCD"/>
    <w:rsid w:val="00990222"/>
    <w:rsid w:val="00991147"/>
    <w:rsid w:val="00991964"/>
    <w:rsid w:val="00991DCE"/>
    <w:rsid w:val="00992735"/>
    <w:rsid w:val="009932A8"/>
    <w:rsid w:val="009947F3"/>
    <w:rsid w:val="00995000"/>
    <w:rsid w:val="00995EA7"/>
    <w:rsid w:val="0099708D"/>
    <w:rsid w:val="0099712F"/>
    <w:rsid w:val="00997463"/>
    <w:rsid w:val="0099755E"/>
    <w:rsid w:val="00997C35"/>
    <w:rsid w:val="00997EDD"/>
    <w:rsid w:val="009A0FAE"/>
    <w:rsid w:val="009A1531"/>
    <w:rsid w:val="009A26D0"/>
    <w:rsid w:val="009A2CBE"/>
    <w:rsid w:val="009A2E20"/>
    <w:rsid w:val="009A324A"/>
    <w:rsid w:val="009A3993"/>
    <w:rsid w:val="009A4536"/>
    <w:rsid w:val="009A4738"/>
    <w:rsid w:val="009A5B2F"/>
    <w:rsid w:val="009A5FA4"/>
    <w:rsid w:val="009A606E"/>
    <w:rsid w:val="009A7AFC"/>
    <w:rsid w:val="009B030C"/>
    <w:rsid w:val="009B04FA"/>
    <w:rsid w:val="009B1700"/>
    <w:rsid w:val="009B50D7"/>
    <w:rsid w:val="009B5182"/>
    <w:rsid w:val="009B5503"/>
    <w:rsid w:val="009B6749"/>
    <w:rsid w:val="009B691C"/>
    <w:rsid w:val="009B7230"/>
    <w:rsid w:val="009B72D8"/>
    <w:rsid w:val="009C0453"/>
    <w:rsid w:val="009C1587"/>
    <w:rsid w:val="009C33AE"/>
    <w:rsid w:val="009C36C4"/>
    <w:rsid w:val="009C4610"/>
    <w:rsid w:val="009C6060"/>
    <w:rsid w:val="009C6980"/>
    <w:rsid w:val="009C7333"/>
    <w:rsid w:val="009C7DD5"/>
    <w:rsid w:val="009C7E8F"/>
    <w:rsid w:val="009D07A9"/>
    <w:rsid w:val="009D084A"/>
    <w:rsid w:val="009D18C8"/>
    <w:rsid w:val="009D20E6"/>
    <w:rsid w:val="009D28B1"/>
    <w:rsid w:val="009D35F0"/>
    <w:rsid w:val="009D4865"/>
    <w:rsid w:val="009D4C48"/>
    <w:rsid w:val="009D502B"/>
    <w:rsid w:val="009D5366"/>
    <w:rsid w:val="009D55CB"/>
    <w:rsid w:val="009D61D8"/>
    <w:rsid w:val="009D6E34"/>
    <w:rsid w:val="009D6F7A"/>
    <w:rsid w:val="009E018E"/>
    <w:rsid w:val="009E06D8"/>
    <w:rsid w:val="009E0A03"/>
    <w:rsid w:val="009E1D03"/>
    <w:rsid w:val="009E1F7B"/>
    <w:rsid w:val="009E21AE"/>
    <w:rsid w:val="009E2267"/>
    <w:rsid w:val="009E2A80"/>
    <w:rsid w:val="009E34B1"/>
    <w:rsid w:val="009E3535"/>
    <w:rsid w:val="009E3D8C"/>
    <w:rsid w:val="009E44D8"/>
    <w:rsid w:val="009E4808"/>
    <w:rsid w:val="009E52ED"/>
    <w:rsid w:val="009E58CF"/>
    <w:rsid w:val="009E5C7D"/>
    <w:rsid w:val="009E693C"/>
    <w:rsid w:val="009E6C0C"/>
    <w:rsid w:val="009E7564"/>
    <w:rsid w:val="009E78D0"/>
    <w:rsid w:val="009F0BB1"/>
    <w:rsid w:val="009F10C9"/>
    <w:rsid w:val="009F1173"/>
    <w:rsid w:val="009F199B"/>
    <w:rsid w:val="009F288F"/>
    <w:rsid w:val="009F30F5"/>
    <w:rsid w:val="009F3A36"/>
    <w:rsid w:val="009F4272"/>
    <w:rsid w:val="009F46EE"/>
    <w:rsid w:val="009F47BA"/>
    <w:rsid w:val="009F5399"/>
    <w:rsid w:val="009F6E41"/>
    <w:rsid w:val="009F741A"/>
    <w:rsid w:val="00A0150C"/>
    <w:rsid w:val="00A01924"/>
    <w:rsid w:val="00A01B3D"/>
    <w:rsid w:val="00A01DC5"/>
    <w:rsid w:val="00A028BF"/>
    <w:rsid w:val="00A0374B"/>
    <w:rsid w:val="00A04271"/>
    <w:rsid w:val="00A04879"/>
    <w:rsid w:val="00A04D71"/>
    <w:rsid w:val="00A05641"/>
    <w:rsid w:val="00A059A2"/>
    <w:rsid w:val="00A063E4"/>
    <w:rsid w:val="00A06B19"/>
    <w:rsid w:val="00A06D8B"/>
    <w:rsid w:val="00A071D2"/>
    <w:rsid w:val="00A1093F"/>
    <w:rsid w:val="00A1163B"/>
    <w:rsid w:val="00A11818"/>
    <w:rsid w:val="00A11BB8"/>
    <w:rsid w:val="00A11BE1"/>
    <w:rsid w:val="00A11DDB"/>
    <w:rsid w:val="00A11FC6"/>
    <w:rsid w:val="00A12347"/>
    <w:rsid w:val="00A136C8"/>
    <w:rsid w:val="00A1454F"/>
    <w:rsid w:val="00A14A01"/>
    <w:rsid w:val="00A15478"/>
    <w:rsid w:val="00A15B7F"/>
    <w:rsid w:val="00A164BE"/>
    <w:rsid w:val="00A175F4"/>
    <w:rsid w:val="00A17C7D"/>
    <w:rsid w:val="00A20215"/>
    <w:rsid w:val="00A20837"/>
    <w:rsid w:val="00A20B18"/>
    <w:rsid w:val="00A2359B"/>
    <w:rsid w:val="00A2376E"/>
    <w:rsid w:val="00A238DE"/>
    <w:rsid w:val="00A23B00"/>
    <w:rsid w:val="00A23C33"/>
    <w:rsid w:val="00A23D0B"/>
    <w:rsid w:val="00A23FB4"/>
    <w:rsid w:val="00A24135"/>
    <w:rsid w:val="00A24332"/>
    <w:rsid w:val="00A24D2A"/>
    <w:rsid w:val="00A2650A"/>
    <w:rsid w:val="00A26C91"/>
    <w:rsid w:val="00A274D0"/>
    <w:rsid w:val="00A27B61"/>
    <w:rsid w:val="00A27C1A"/>
    <w:rsid w:val="00A3023B"/>
    <w:rsid w:val="00A30388"/>
    <w:rsid w:val="00A30C1C"/>
    <w:rsid w:val="00A30E0C"/>
    <w:rsid w:val="00A3120D"/>
    <w:rsid w:val="00A31A21"/>
    <w:rsid w:val="00A3229C"/>
    <w:rsid w:val="00A3344F"/>
    <w:rsid w:val="00A334E8"/>
    <w:rsid w:val="00A34099"/>
    <w:rsid w:val="00A34964"/>
    <w:rsid w:val="00A34AAC"/>
    <w:rsid w:val="00A36310"/>
    <w:rsid w:val="00A36E0E"/>
    <w:rsid w:val="00A37394"/>
    <w:rsid w:val="00A37F3A"/>
    <w:rsid w:val="00A400B9"/>
    <w:rsid w:val="00A40B26"/>
    <w:rsid w:val="00A40D08"/>
    <w:rsid w:val="00A417ED"/>
    <w:rsid w:val="00A41A3A"/>
    <w:rsid w:val="00A41F64"/>
    <w:rsid w:val="00A4262E"/>
    <w:rsid w:val="00A426F1"/>
    <w:rsid w:val="00A42E47"/>
    <w:rsid w:val="00A42F72"/>
    <w:rsid w:val="00A43384"/>
    <w:rsid w:val="00A440D2"/>
    <w:rsid w:val="00A4621C"/>
    <w:rsid w:val="00A46397"/>
    <w:rsid w:val="00A47649"/>
    <w:rsid w:val="00A478D1"/>
    <w:rsid w:val="00A504EC"/>
    <w:rsid w:val="00A5116E"/>
    <w:rsid w:val="00A52A36"/>
    <w:rsid w:val="00A52E57"/>
    <w:rsid w:val="00A536F4"/>
    <w:rsid w:val="00A5376B"/>
    <w:rsid w:val="00A537B5"/>
    <w:rsid w:val="00A53CA9"/>
    <w:rsid w:val="00A53D93"/>
    <w:rsid w:val="00A545AF"/>
    <w:rsid w:val="00A54D11"/>
    <w:rsid w:val="00A54D1D"/>
    <w:rsid w:val="00A54D23"/>
    <w:rsid w:val="00A54EA0"/>
    <w:rsid w:val="00A54F9D"/>
    <w:rsid w:val="00A55F06"/>
    <w:rsid w:val="00A5658C"/>
    <w:rsid w:val="00A5675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3B2"/>
    <w:rsid w:val="00A655FA"/>
    <w:rsid w:val="00A65A7C"/>
    <w:rsid w:val="00A663C7"/>
    <w:rsid w:val="00A664F6"/>
    <w:rsid w:val="00A6659C"/>
    <w:rsid w:val="00A66B9A"/>
    <w:rsid w:val="00A66FAF"/>
    <w:rsid w:val="00A67F3E"/>
    <w:rsid w:val="00A700D5"/>
    <w:rsid w:val="00A70B28"/>
    <w:rsid w:val="00A70B2C"/>
    <w:rsid w:val="00A72A02"/>
    <w:rsid w:val="00A737E7"/>
    <w:rsid w:val="00A74534"/>
    <w:rsid w:val="00A75251"/>
    <w:rsid w:val="00A752A8"/>
    <w:rsid w:val="00A76D83"/>
    <w:rsid w:val="00A77115"/>
    <w:rsid w:val="00A779B7"/>
    <w:rsid w:val="00A77CA5"/>
    <w:rsid w:val="00A77E8D"/>
    <w:rsid w:val="00A807CA"/>
    <w:rsid w:val="00A81502"/>
    <w:rsid w:val="00A820F2"/>
    <w:rsid w:val="00A82ADC"/>
    <w:rsid w:val="00A82C0F"/>
    <w:rsid w:val="00A831FC"/>
    <w:rsid w:val="00A8355F"/>
    <w:rsid w:val="00A84C9C"/>
    <w:rsid w:val="00A85364"/>
    <w:rsid w:val="00A856AE"/>
    <w:rsid w:val="00A86260"/>
    <w:rsid w:val="00A86C0D"/>
    <w:rsid w:val="00A87012"/>
    <w:rsid w:val="00A87EDC"/>
    <w:rsid w:val="00A87FEF"/>
    <w:rsid w:val="00A90F77"/>
    <w:rsid w:val="00A90F98"/>
    <w:rsid w:val="00A9196D"/>
    <w:rsid w:val="00A924EA"/>
    <w:rsid w:val="00A92A6F"/>
    <w:rsid w:val="00A93660"/>
    <w:rsid w:val="00A93CCC"/>
    <w:rsid w:val="00A93D2D"/>
    <w:rsid w:val="00A943D5"/>
    <w:rsid w:val="00A96100"/>
    <w:rsid w:val="00A961DF"/>
    <w:rsid w:val="00A96778"/>
    <w:rsid w:val="00AA05A9"/>
    <w:rsid w:val="00AA06EC"/>
    <w:rsid w:val="00AA083E"/>
    <w:rsid w:val="00AA0925"/>
    <w:rsid w:val="00AA0CC9"/>
    <w:rsid w:val="00AA0CD5"/>
    <w:rsid w:val="00AA0D9F"/>
    <w:rsid w:val="00AA1D94"/>
    <w:rsid w:val="00AA37DF"/>
    <w:rsid w:val="00AA3D8C"/>
    <w:rsid w:val="00AA42AF"/>
    <w:rsid w:val="00AA5415"/>
    <w:rsid w:val="00AA58B2"/>
    <w:rsid w:val="00AA62F8"/>
    <w:rsid w:val="00AA6ED8"/>
    <w:rsid w:val="00AB0658"/>
    <w:rsid w:val="00AB157B"/>
    <w:rsid w:val="00AB1A49"/>
    <w:rsid w:val="00AB1FBA"/>
    <w:rsid w:val="00AB2A21"/>
    <w:rsid w:val="00AB2F05"/>
    <w:rsid w:val="00AB336D"/>
    <w:rsid w:val="00AB3E81"/>
    <w:rsid w:val="00AB428F"/>
    <w:rsid w:val="00AB4771"/>
    <w:rsid w:val="00AB508D"/>
    <w:rsid w:val="00AB554F"/>
    <w:rsid w:val="00AB55AA"/>
    <w:rsid w:val="00AB5845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F26"/>
    <w:rsid w:val="00AC3F93"/>
    <w:rsid w:val="00AC418C"/>
    <w:rsid w:val="00AC4A7F"/>
    <w:rsid w:val="00AC4DAA"/>
    <w:rsid w:val="00AC4EA2"/>
    <w:rsid w:val="00AC55F2"/>
    <w:rsid w:val="00AC5B5A"/>
    <w:rsid w:val="00AC642D"/>
    <w:rsid w:val="00AC6BF5"/>
    <w:rsid w:val="00AC6E15"/>
    <w:rsid w:val="00AC7176"/>
    <w:rsid w:val="00AD039F"/>
    <w:rsid w:val="00AD0D60"/>
    <w:rsid w:val="00AD0D70"/>
    <w:rsid w:val="00AD1964"/>
    <w:rsid w:val="00AD1AC9"/>
    <w:rsid w:val="00AD2BBC"/>
    <w:rsid w:val="00AD2F30"/>
    <w:rsid w:val="00AD30C7"/>
    <w:rsid w:val="00AD3FE4"/>
    <w:rsid w:val="00AD4596"/>
    <w:rsid w:val="00AD592A"/>
    <w:rsid w:val="00AD5AA6"/>
    <w:rsid w:val="00AD7320"/>
    <w:rsid w:val="00AD7AF9"/>
    <w:rsid w:val="00AE11C7"/>
    <w:rsid w:val="00AE1466"/>
    <w:rsid w:val="00AE2424"/>
    <w:rsid w:val="00AE2551"/>
    <w:rsid w:val="00AE2555"/>
    <w:rsid w:val="00AE2BFD"/>
    <w:rsid w:val="00AE2EEF"/>
    <w:rsid w:val="00AE3B89"/>
    <w:rsid w:val="00AE462E"/>
    <w:rsid w:val="00AE469D"/>
    <w:rsid w:val="00AE4E45"/>
    <w:rsid w:val="00AE53B4"/>
    <w:rsid w:val="00AE57BD"/>
    <w:rsid w:val="00AE6361"/>
    <w:rsid w:val="00AE6655"/>
    <w:rsid w:val="00AE6F3F"/>
    <w:rsid w:val="00AF1738"/>
    <w:rsid w:val="00AF18AA"/>
    <w:rsid w:val="00AF209F"/>
    <w:rsid w:val="00AF2E22"/>
    <w:rsid w:val="00AF3153"/>
    <w:rsid w:val="00AF3316"/>
    <w:rsid w:val="00AF36AE"/>
    <w:rsid w:val="00AF54C1"/>
    <w:rsid w:val="00AF5E7F"/>
    <w:rsid w:val="00AF5EBD"/>
    <w:rsid w:val="00AF737C"/>
    <w:rsid w:val="00B00A78"/>
    <w:rsid w:val="00B00EB8"/>
    <w:rsid w:val="00B00F07"/>
    <w:rsid w:val="00B0231F"/>
    <w:rsid w:val="00B0266C"/>
    <w:rsid w:val="00B02B50"/>
    <w:rsid w:val="00B03077"/>
    <w:rsid w:val="00B04782"/>
    <w:rsid w:val="00B05B21"/>
    <w:rsid w:val="00B05DBF"/>
    <w:rsid w:val="00B06258"/>
    <w:rsid w:val="00B0776F"/>
    <w:rsid w:val="00B07900"/>
    <w:rsid w:val="00B07B64"/>
    <w:rsid w:val="00B07D97"/>
    <w:rsid w:val="00B10078"/>
    <w:rsid w:val="00B10186"/>
    <w:rsid w:val="00B1040A"/>
    <w:rsid w:val="00B104B9"/>
    <w:rsid w:val="00B108C5"/>
    <w:rsid w:val="00B10F19"/>
    <w:rsid w:val="00B130AB"/>
    <w:rsid w:val="00B138AB"/>
    <w:rsid w:val="00B13E0E"/>
    <w:rsid w:val="00B13ED5"/>
    <w:rsid w:val="00B14036"/>
    <w:rsid w:val="00B144A6"/>
    <w:rsid w:val="00B14D42"/>
    <w:rsid w:val="00B15B39"/>
    <w:rsid w:val="00B161DC"/>
    <w:rsid w:val="00B16833"/>
    <w:rsid w:val="00B16B79"/>
    <w:rsid w:val="00B170CB"/>
    <w:rsid w:val="00B17591"/>
    <w:rsid w:val="00B17BF2"/>
    <w:rsid w:val="00B17ECA"/>
    <w:rsid w:val="00B22B44"/>
    <w:rsid w:val="00B2301D"/>
    <w:rsid w:val="00B23DA5"/>
    <w:rsid w:val="00B242BF"/>
    <w:rsid w:val="00B264E9"/>
    <w:rsid w:val="00B276AD"/>
    <w:rsid w:val="00B279F8"/>
    <w:rsid w:val="00B30434"/>
    <w:rsid w:val="00B306EF"/>
    <w:rsid w:val="00B30802"/>
    <w:rsid w:val="00B30E1C"/>
    <w:rsid w:val="00B31685"/>
    <w:rsid w:val="00B316AF"/>
    <w:rsid w:val="00B32191"/>
    <w:rsid w:val="00B322F1"/>
    <w:rsid w:val="00B3285B"/>
    <w:rsid w:val="00B330F5"/>
    <w:rsid w:val="00B33749"/>
    <w:rsid w:val="00B3393D"/>
    <w:rsid w:val="00B35728"/>
    <w:rsid w:val="00B3587D"/>
    <w:rsid w:val="00B35A3F"/>
    <w:rsid w:val="00B36E29"/>
    <w:rsid w:val="00B370DD"/>
    <w:rsid w:val="00B37690"/>
    <w:rsid w:val="00B37F01"/>
    <w:rsid w:val="00B403D0"/>
    <w:rsid w:val="00B4071F"/>
    <w:rsid w:val="00B40957"/>
    <w:rsid w:val="00B40D3B"/>
    <w:rsid w:val="00B40D57"/>
    <w:rsid w:val="00B40D83"/>
    <w:rsid w:val="00B41BEF"/>
    <w:rsid w:val="00B41BF2"/>
    <w:rsid w:val="00B42707"/>
    <w:rsid w:val="00B43653"/>
    <w:rsid w:val="00B441C2"/>
    <w:rsid w:val="00B44237"/>
    <w:rsid w:val="00B447D9"/>
    <w:rsid w:val="00B44A20"/>
    <w:rsid w:val="00B44E51"/>
    <w:rsid w:val="00B4567A"/>
    <w:rsid w:val="00B45DD1"/>
    <w:rsid w:val="00B46602"/>
    <w:rsid w:val="00B46B1E"/>
    <w:rsid w:val="00B4734B"/>
    <w:rsid w:val="00B4772E"/>
    <w:rsid w:val="00B47AF4"/>
    <w:rsid w:val="00B47E22"/>
    <w:rsid w:val="00B47F0C"/>
    <w:rsid w:val="00B5034F"/>
    <w:rsid w:val="00B50BF6"/>
    <w:rsid w:val="00B50EE2"/>
    <w:rsid w:val="00B52CFE"/>
    <w:rsid w:val="00B53D03"/>
    <w:rsid w:val="00B54BC2"/>
    <w:rsid w:val="00B566CE"/>
    <w:rsid w:val="00B569CB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D9"/>
    <w:rsid w:val="00B63331"/>
    <w:rsid w:val="00B638CD"/>
    <w:rsid w:val="00B64865"/>
    <w:rsid w:val="00B64B0A"/>
    <w:rsid w:val="00B656A7"/>
    <w:rsid w:val="00B66B9C"/>
    <w:rsid w:val="00B66EC9"/>
    <w:rsid w:val="00B701B5"/>
    <w:rsid w:val="00B708DC"/>
    <w:rsid w:val="00B71A56"/>
    <w:rsid w:val="00B72729"/>
    <w:rsid w:val="00B72D9E"/>
    <w:rsid w:val="00B72E96"/>
    <w:rsid w:val="00B72F58"/>
    <w:rsid w:val="00B7399C"/>
    <w:rsid w:val="00B73CE6"/>
    <w:rsid w:val="00B73FB6"/>
    <w:rsid w:val="00B74374"/>
    <w:rsid w:val="00B75CC0"/>
    <w:rsid w:val="00B75FC3"/>
    <w:rsid w:val="00B76C0E"/>
    <w:rsid w:val="00B77D6B"/>
    <w:rsid w:val="00B803B4"/>
    <w:rsid w:val="00B81245"/>
    <w:rsid w:val="00B81C1F"/>
    <w:rsid w:val="00B82590"/>
    <w:rsid w:val="00B856CF"/>
    <w:rsid w:val="00B85C11"/>
    <w:rsid w:val="00B85C7D"/>
    <w:rsid w:val="00B85E3D"/>
    <w:rsid w:val="00B85F90"/>
    <w:rsid w:val="00B86A70"/>
    <w:rsid w:val="00B90999"/>
    <w:rsid w:val="00B90F3C"/>
    <w:rsid w:val="00B910F1"/>
    <w:rsid w:val="00B919AE"/>
    <w:rsid w:val="00B92B44"/>
    <w:rsid w:val="00B93ECC"/>
    <w:rsid w:val="00B9420B"/>
    <w:rsid w:val="00B94ECD"/>
    <w:rsid w:val="00B95254"/>
    <w:rsid w:val="00B9527E"/>
    <w:rsid w:val="00B9666E"/>
    <w:rsid w:val="00B9687D"/>
    <w:rsid w:val="00B96A35"/>
    <w:rsid w:val="00B97AB6"/>
    <w:rsid w:val="00B97D3A"/>
    <w:rsid w:val="00BA087E"/>
    <w:rsid w:val="00BA1326"/>
    <w:rsid w:val="00BA17EF"/>
    <w:rsid w:val="00BA1EE8"/>
    <w:rsid w:val="00BA276C"/>
    <w:rsid w:val="00BA3057"/>
    <w:rsid w:val="00BA345A"/>
    <w:rsid w:val="00BA381A"/>
    <w:rsid w:val="00BA5B33"/>
    <w:rsid w:val="00BA5DFA"/>
    <w:rsid w:val="00BA63C7"/>
    <w:rsid w:val="00BA65F0"/>
    <w:rsid w:val="00BA7603"/>
    <w:rsid w:val="00BA7AB2"/>
    <w:rsid w:val="00BB03DA"/>
    <w:rsid w:val="00BB1667"/>
    <w:rsid w:val="00BB2247"/>
    <w:rsid w:val="00BB27C9"/>
    <w:rsid w:val="00BB3376"/>
    <w:rsid w:val="00BB3CB2"/>
    <w:rsid w:val="00BB4E0D"/>
    <w:rsid w:val="00BB594D"/>
    <w:rsid w:val="00BB5A09"/>
    <w:rsid w:val="00BB70C9"/>
    <w:rsid w:val="00BB7A60"/>
    <w:rsid w:val="00BC01AF"/>
    <w:rsid w:val="00BC0CE6"/>
    <w:rsid w:val="00BC0E35"/>
    <w:rsid w:val="00BC1331"/>
    <w:rsid w:val="00BC14A6"/>
    <w:rsid w:val="00BC1DF4"/>
    <w:rsid w:val="00BC2007"/>
    <w:rsid w:val="00BC21C3"/>
    <w:rsid w:val="00BC2336"/>
    <w:rsid w:val="00BC2620"/>
    <w:rsid w:val="00BC2961"/>
    <w:rsid w:val="00BC35CB"/>
    <w:rsid w:val="00BC4CA3"/>
    <w:rsid w:val="00BC57EE"/>
    <w:rsid w:val="00BC5BE1"/>
    <w:rsid w:val="00BC5C13"/>
    <w:rsid w:val="00BC5C81"/>
    <w:rsid w:val="00BC5F17"/>
    <w:rsid w:val="00BC605C"/>
    <w:rsid w:val="00BC640E"/>
    <w:rsid w:val="00BC6478"/>
    <w:rsid w:val="00BC73FC"/>
    <w:rsid w:val="00BC77F7"/>
    <w:rsid w:val="00BD020A"/>
    <w:rsid w:val="00BD085B"/>
    <w:rsid w:val="00BD0873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7513"/>
    <w:rsid w:val="00BD78F6"/>
    <w:rsid w:val="00BE0342"/>
    <w:rsid w:val="00BE06AB"/>
    <w:rsid w:val="00BE2657"/>
    <w:rsid w:val="00BE372C"/>
    <w:rsid w:val="00BE3B67"/>
    <w:rsid w:val="00BE44D5"/>
    <w:rsid w:val="00BE473C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857"/>
    <w:rsid w:val="00BF6A03"/>
    <w:rsid w:val="00BF6DF7"/>
    <w:rsid w:val="00BF7BBB"/>
    <w:rsid w:val="00C00A1B"/>
    <w:rsid w:val="00C02179"/>
    <w:rsid w:val="00C02A76"/>
    <w:rsid w:val="00C044DB"/>
    <w:rsid w:val="00C063E4"/>
    <w:rsid w:val="00C065A3"/>
    <w:rsid w:val="00C0667C"/>
    <w:rsid w:val="00C06831"/>
    <w:rsid w:val="00C068EB"/>
    <w:rsid w:val="00C0707E"/>
    <w:rsid w:val="00C071DF"/>
    <w:rsid w:val="00C1046C"/>
    <w:rsid w:val="00C11B2E"/>
    <w:rsid w:val="00C12B16"/>
    <w:rsid w:val="00C12BBB"/>
    <w:rsid w:val="00C12C1E"/>
    <w:rsid w:val="00C12E35"/>
    <w:rsid w:val="00C131D8"/>
    <w:rsid w:val="00C140E5"/>
    <w:rsid w:val="00C17D08"/>
    <w:rsid w:val="00C209E4"/>
    <w:rsid w:val="00C20A77"/>
    <w:rsid w:val="00C20D54"/>
    <w:rsid w:val="00C21406"/>
    <w:rsid w:val="00C2271E"/>
    <w:rsid w:val="00C22D46"/>
    <w:rsid w:val="00C2348A"/>
    <w:rsid w:val="00C236B9"/>
    <w:rsid w:val="00C25015"/>
    <w:rsid w:val="00C25568"/>
    <w:rsid w:val="00C25572"/>
    <w:rsid w:val="00C258FD"/>
    <w:rsid w:val="00C25F43"/>
    <w:rsid w:val="00C25FE0"/>
    <w:rsid w:val="00C26025"/>
    <w:rsid w:val="00C26852"/>
    <w:rsid w:val="00C27055"/>
    <w:rsid w:val="00C27862"/>
    <w:rsid w:val="00C2791C"/>
    <w:rsid w:val="00C27A0B"/>
    <w:rsid w:val="00C30361"/>
    <w:rsid w:val="00C30625"/>
    <w:rsid w:val="00C30681"/>
    <w:rsid w:val="00C30CA8"/>
    <w:rsid w:val="00C30D9B"/>
    <w:rsid w:val="00C31EE4"/>
    <w:rsid w:val="00C320C3"/>
    <w:rsid w:val="00C3224E"/>
    <w:rsid w:val="00C32E00"/>
    <w:rsid w:val="00C333D1"/>
    <w:rsid w:val="00C33477"/>
    <w:rsid w:val="00C33652"/>
    <w:rsid w:val="00C34BE2"/>
    <w:rsid w:val="00C34E02"/>
    <w:rsid w:val="00C353BD"/>
    <w:rsid w:val="00C3548D"/>
    <w:rsid w:val="00C35653"/>
    <w:rsid w:val="00C36E1B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3E42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47A10"/>
    <w:rsid w:val="00C5067D"/>
    <w:rsid w:val="00C512CF"/>
    <w:rsid w:val="00C51D73"/>
    <w:rsid w:val="00C51DF3"/>
    <w:rsid w:val="00C52B8B"/>
    <w:rsid w:val="00C544A9"/>
    <w:rsid w:val="00C54B34"/>
    <w:rsid w:val="00C553F6"/>
    <w:rsid w:val="00C5581B"/>
    <w:rsid w:val="00C55820"/>
    <w:rsid w:val="00C55A68"/>
    <w:rsid w:val="00C55E6F"/>
    <w:rsid w:val="00C5668C"/>
    <w:rsid w:val="00C57176"/>
    <w:rsid w:val="00C57261"/>
    <w:rsid w:val="00C60F41"/>
    <w:rsid w:val="00C614FB"/>
    <w:rsid w:val="00C62BBF"/>
    <w:rsid w:val="00C638A0"/>
    <w:rsid w:val="00C63B0F"/>
    <w:rsid w:val="00C65160"/>
    <w:rsid w:val="00C65326"/>
    <w:rsid w:val="00C65477"/>
    <w:rsid w:val="00C65BFD"/>
    <w:rsid w:val="00C65ED7"/>
    <w:rsid w:val="00C66BE4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FB5"/>
    <w:rsid w:val="00C74555"/>
    <w:rsid w:val="00C74A3D"/>
    <w:rsid w:val="00C74BA8"/>
    <w:rsid w:val="00C75292"/>
    <w:rsid w:val="00C75DD0"/>
    <w:rsid w:val="00C76B41"/>
    <w:rsid w:val="00C7709B"/>
    <w:rsid w:val="00C77D31"/>
    <w:rsid w:val="00C77FE4"/>
    <w:rsid w:val="00C80125"/>
    <w:rsid w:val="00C81C75"/>
    <w:rsid w:val="00C836EE"/>
    <w:rsid w:val="00C83903"/>
    <w:rsid w:val="00C83917"/>
    <w:rsid w:val="00C848E3"/>
    <w:rsid w:val="00C84DBD"/>
    <w:rsid w:val="00C852C1"/>
    <w:rsid w:val="00C85500"/>
    <w:rsid w:val="00C8578D"/>
    <w:rsid w:val="00C85D19"/>
    <w:rsid w:val="00C865BD"/>
    <w:rsid w:val="00C86649"/>
    <w:rsid w:val="00C87310"/>
    <w:rsid w:val="00C87AD7"/>
    <w:rsid w:val="00C902FA"/>
    <w:rsid w:val="00C91122"/>
    <w:rsid w:val="00C9127B"/>
    <w:rsid w:val="00C92070"/>
    <w:rsid w:val="00C92671"/>
    <w:rsid w:val="00C92C21"/>
    <w:rsid w:val="00C93A99"/>
    <w:rsid w:val="00C93D4C"/>
    <w:rsid w:val="00C93E9D"/>
    <w:rsid w:val="00C94042"/>
    <w:rsid w:val="00C9436D"/>
    <w:rsid w:val="00C94565"/>
    <w:rsid w:val="00C94703"/>
    <w:rsid w:val="00C958DE"/>
    <w:rsid w:val="00C9606B"/>
    <w:rsid w:val="00C96AC2"/>
    <w:rsid w:val="00CA0C0B"/>
    <w:rsid w:val="00CA111B"/>
    <w:rsid w:val="00CA49A2"/>
    <w:rsid w:val="00CA5228"/>
    <w:rsid w:val="00CA56F7"/>
    <w:rsid w:val="00CA5F8F"/>
    <w:rsid w:val="00CB27DE"/>
    <w:rsid w:val="00CB29B9"/>
    <w:rsid w:val="00CB2A43"/>
    <w:rsid w:val="00CB2DC4"/>
    <w:rsid w:val="00CB3114"/>
    <w:rsid w:val="00CB34F8"/>
    <w:rsid w:val="00CB4439"/>
    <w:rsid w:val="00CB4848"/>
    <w:rsid w:val="00CB4852"/>
    <w:rsid w:val="00CB5B80"/>
    <w:rsid w:val="00CB6272"/>
    <w:rsid w:val="00CB6DDE"/>
    <w:rsid w:val="00CB7559"/>
    <w:rsid w:val="00CB7A36"/>
    <w:rsid w:val="00CB7E74"/>
    <w:rsid w:val="00CC1730"/>
    <w:rsid w:val="00CC178F"/>
    <w:rsid w:val="00CC1894"/>
    <w:rsid w:val="00CC237C"/>
    <w:rsid w:val="00CC34E5"/>
    <w:rsid w:val="00CC351C"/>
    <w:rsid w:val="00CC454A"/>
    <w:rsid w:val="00CC4F46"/>
    <w:rsid w:val="00CC5620"/>
    <w:rsid w:val="00CC6886"/>
    <w:rsid w:val="00CC7053"/>
    <w:rsid w:val="00CC7220"/>
    <w:rsid w:val="00CC7664"/>
    <w:rsid w:val="00CC7CD3"/>
    <w:rsid w:val="00CC7F3C"/>
    <w:rsid w:val="00CD1490"/>
    <w:rsid w:val="00CD1BC6"/>
    <w:rsid w:val="00CD324A"/>
    <w:rsid w:val="00CD3ACD"/>
    <w:rsid w:val="00CD4356"/>
    <w:rsid w:val="00CD4610"/>
    <w:rsid w:val="00CD5F55"/>
    <w:rsid w:val="00CD61A8"/>
    <w:rsid w:val="00CD6B01"/>
    <w:rsid w:val="00CE0EEB"/>
    <w:rsid w:val="00CE1819"/>
    <w:rsid w:val="00CE3A86"/>
    <w:rsid w:val="00CE3AF1"/>
    <w:rsid w:val="00CE3D9F"/>
    <w:rsid w:val="00CE3F0A"/>
    <w:rsid w:val="00CE3F3F"/>
    <w:rsid w:val="00CE3FB6"/>
    <w:rsid w:val="00CE4126"/>
    <w:rsid w:val="00CE4B1D"/>
    <w:rsid w:val="00CE510E"/>
    <w:rsid w:val="00CE6295"/>
    <w:rsid w:val="00CE701B"/>
    <w:rsid w:val="00CE791F"/>
    <w:rsid w:val="00CE7FE7"/>
    <w:rsid w:val="00CF00F8"/>
    <w:rsid w:val="00CF09B0"/>
    <w:rsid w:val="00CF25F1"/>
    <w:rsid w:val="00CF280F"/>
    <w:rsid w:val="00CF3756"/>
    <w:rsid w:val="00CF3FAA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744D"/>
    <w:rsid w:val="00CF7923"/>
    <w:rsid w:val="00CF7D97"/>
    <w:rsid w:val="00D007E6"/>
    <w:rsid w:val="00D00A61"/>
    <w:rsid w:val="00D010B9"/>
    <w:rsid w:val="00D02383"/>
    <w:rsid w:val="00D024D6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A54"/>
    <w:rsid w:val="00D11FE1"/>
    <w:rsid w:val="00D12520"/>
    <w:rsid w:val="00D12F5D"/>
    <w:rsid w:val="00D12FC5"/>
    <w:rsid w:val="00D13522"/>
    <w:rsid w:val="00D1372E"/>
    <w:rsid w:val="00D13DD9"/>
    <w:rsid w:val="00D13E6B"/>
    <w:rsid w:val="00D14411"/>
    <w:rsid w:val="00D14445"/>
    <w:rsid w:val="00D14A44"/>
    <w:rsid w:val="00D14CFE"/>
    <w:rsid w:val="00D15141"/>
    <w:rsid w:val="00D153C5"/>
    <w:rsid w:val="00D1581A"/>
    <w:rsid w:val="00D1615D"/>
    <w:rsid w:val="00D16AD6"/>
    <w:rsid w:val="00D16EAB"/>
    <w:rsid w:val="00D17721"/>
    <w:rsid w:val="00D200D1"/>
    <w:rsid w:val="00D2016A"/>
    <w:rsid w:val="00D20C6C"/>
    <w:rsid w:val="00D20E5B"/>
    <w:rsid w:val="00D21FD8"/>
    <w:rsid w:val="00D2275A"/>
    <w:rsid w:val="00D22CB3"/>
    <w:rsid w:val="00D22FF2"/>
    <w:rsid w:val="00D235F5"/>
    <w:rsid w:val="00D23EAE"/>
    <w:rsid w:val="00D24D66"/>
    <w:rsid w:val="00D2585B"/>
    <w:rsid w:val="00D26607"/>
    <w:rsid w:val="00D278C6"/>
    <w:rsid w:val="00D31C1D"/>
    <w:rsid w:val="00D32542"/>
    <w:rsid w:val="00D32E45"/>
    <w:rsid w:val="00D32F0B"/>
    <w:rsid w:val="00D3300A"/>
    <w:rsid w:val="00D33712"/>
    <w:rsid w:val="00D33779"/>
    <w:rsid w:val="00D341E3"/>
    <w:rsid w:val="00D34EE3"/>
    <w:rsid w:val="00D3506D"/>
    <w:rsid w:val="00D351AC"/>
    <w:rsid w:val="00D35521"/>
    <w:rsid w:val="00D40DB4"/>
    <w:rsid w:val="00D40EB3"/>
    <w:rsid w:val="00D4145C"/>
    <w:rsid w:val="00D43760"/>
    <w:rsid w:val="00D43CFA"/>
    <w:rsid w:val="00D43DF2"/>
    <w:rsid w:val="00D44DE1"/>
    <w:rsid w:val="00D4576B"/>
    <w:rsid w:val="00D46079"/>
    <w:rsid w:val="00D46536"/>
    <w:rsid w:val="00D46C5C"/>
    <w:rsid w:val="00D46D11"/>
    <w:rsid w:val="00D47ACC"/>
    <w:rsid w:val="00D502A3"/>
    <w:rsid w:val="00D50606"/>
    <w:rsid w:val="00D5076F"/>
    <w:rsid w:val="00D50A8D"/>
    <w:rsid w:val="00D50C1E"/>
    <w:rsid w:val="00D50CEC"/>
    <w:rsid w:val="00D5113F"/>
    <w:rsid w:val="00D52BB6"/>
    <w:rsid w:val="00D53C0C"/>
    <w:rsid w:val="00D543FC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C3"/>
    <w:rsid w:val="00D57519"/>
    <w:rsid w:val="00D57713"/>
    <w:rsid w:val="00D601C6"/>
    <w:rsid w:val="00D60996"/>
    <w:rsid w:val="00D611DB"/>
    <w:rsid w:val="00D61815"/>
    <w:rsid w:val="00D621D4"/>
    <w:rsid w:val="00D6299B"/>
    <w:rsid w:val="00D62DC2"/>
    <w:rsid w:val="00D63849"/>
    <w:rsid w:val="00D64061"/>
    <w:rsid w:val="00D64692"/>
    <w:rsid w:val="00D65131"/>
    <w:rsid w:val="00D65E57"/>
    <w:rsid w:val="00D661FB"/>
    <w:rsid w:val="00D665DE"/>
    <w:rsid w:val="00D6672D"/>
    <w:rsid w:val="00D6698C"/>
    <w:rsid w:val="00D66A73"/>
    <w:rsid w:val="00D701A0"/>
    <w:rsid w:val="00D71081"/>
    <w:rsid w:val="00D71773"/>
    <w:rsid w:val="00D73372"/>
    <w:rsid w:val="00D74C4B"/>
    <w:rsid w:val="00D74DD5"/>
    <w:rsid w:val="00D7597A"/>
    <w:rsid w:val="00D75B39"/>
    <w:rsid w:val="00D75C76"/>
    <w:rsid w:val="00D75FA3"/>
    <w:rsid w:val="00D76430"/>
    <w:rsid w:val="00D76B6A"/>
    <w:rsid w:val="00D808F4"/>
    <w:rsid w:val="00D80C40"/>
    <w:rsid w:val="00D815E5"/>
    <w:rsid w:val="00D81810"/>
    <w:rsid w:val="00D82AF4"/>
    <w:rsid w:val="00D82C19"/>
    <w:rsid w:val="00D83A79"/>
    <w:rsid w:val="00D84862"/>
    <w:rsid w:val="00D8501B"/>
    <w:rsid w:val="00D860C4"/>
    <w:rsid w:val="00D86682"/>
    <w:rsid w:val="00D86DE6"/>
    <w:rsid w:val="00D875DD"/>
    <w:rsid w:val="00D876B9"/>
    <w:rsid w:val="00D901E0"/>
    <w:rsid w:val="00D911D0"/>
    <w:rsid w:val="00D92025"/>
    <w:rsid w:val="00D9266D"/>
    <w:rsid w:val="00D92792"/>
    <w:rsid w:val="00D92FC4"/>
    <w:rsid w:val="00D9305A"/>
    <w:rsid w:val="00D9363E"/>
    <w:rsid w:val="00D9428B"/>
    <w:rsid w:val="00D94A71"/>
    <w:rsid w:val="00D94EED"/>
    <w:rsid w:val="00D958AA"/>
    <w:rsid w:val="00D96138"/>
    <w:rsid w:val="00D967E0"/>
    <w:rsid w:val="00D9740E"/>
    <w:rsid w:val="00D97856"/>
    <w:rsid w:val="00D97E19"/>
    <w:rsid w:val="00DA04AD"/>
    <w:rsid w:val="00DA09FA"/>
    <w:rsid w:val="00DA0A4B"/>
    <w:rsid w:val="00DA0E18"/>
    <w:rsid w:val="00DA0FEC"/>
    <w:rsid w:val="00DA1148"/>
    <w:rsid w:val="00DA119B"/>
    <w:rsid w:val="00DA1A47"/>
    <w:rsid w:val="00DA2205"/>
    <w:rsid w:val="00DA3A09"/>
    <w:rsid w:val="00DA5834"/>
    <w:rsid w:val="00DA58C1"/>
    <w:rsid w:val="00DA64B7"/>
    <w:rsid w:val="00DA69E0"/>
    <w:rsid w:val="00DA77E9"/>
    <w:rsid w:val="00DB097D"/>
    <w:rsid w:val="00DB0B67"/>
    <w:rsid w:val="00DB19C7"/>
    <w:rsid w:val="00DB1C2A"/>
    <w:rsid w:val="00DB21D0"/>
    <w:rsid w:val="00DB256C"/>
    <w:rsid w:val="00DB2667"/>
    <w:rsid w:val="00DB2A77"/>
    <w:rsid w:val="00DB35D1"/>
    <w:rsid w:val="00DB3E72"/>
    <w:rsid w:val="00DB3ED9"/>
    <w:rsid w:val="00DB46C8"/>
    <w:rsid w:val="00DB53A1"/>
    <w:rsid w:val="00DB53D7"/>
    <w:rsid w:val="00DB54A5"/>
    <w:rsid w:val="00DB56FD"/>
    <w:rsid w:val="00DB6B62"/>
    <w:rsid w:val="00DC093F"/>
    <w:rsid w:val="00DC14E4"/>
    <w:rsid w:val="00DC16E6"/>
    <w:rsid w:val="00DC2334"/>
    <w:rsid w:val="00DC23D7"/>
    <w:rsid w:val="00DC2605"/>
    <w:rsid w:val="00DC2FCC"/>
    <w:rsid w:val="00DC42BB"/>
    <w:rsid w:val="00DC4830"/>
    <w:rsid w:val="00DC667A"/>
    <w:rsid w:val="00DC769F"/>
    <w:rsid w:val="00DC76EB"/>
    <w:rsid w:val="00DC77F9"/>
    <w:rsid w:val="00DC7F85"/>
    <w:rsid w:val="00DD06C1"/>
    <w:rsid w:val="00DD0EC3"/>
    <w:rsid w:val="00DD10FA"/>
    <w:rsid w:val="00DD2026"/>
    <w:rsid w:val="00DD2BC5"/>
    <w:rsid w:val="00DD2C89"/>
    <w:rsid w:val="00DD2CA2"/>
    <w:rsid w:val="00DD344D"/>
    <w:rsid w:val="00DD3C2D"/>
    <w:rsid w:val="00DD3D28"/>
    <w:rsid w:val="00DD415B"/>
    <w:rsid w:val="00DD43B3"/>
    <w:rsid w:val="00DD475B"/>
    <w:rsid w:val="00DD488D"/>
    <w:rsid w:val="00DD4DA8"/>
    <w:rsid w:val="00DD6AE2"/>
    <w:rsid w:val="00DD70A4"/>
    <w:rsid w:val="00DD78E4"/>
    <w:rsid w:val="00DD7EC3"/>
    <w:rsid w:val="00DE03E4"/>
    <w:rsid w:val="00DE0565"/>
    <w:rsid w:val="00DE0778"/>
    <w:rsid w:val="00DE19CB"/>
    <w:rsid w:val="00DE1AC1"/>
    <w:rsid w:val="00DE28FA"/>
    <w:rsid w:val="00DE2B04"/>
    <w:rsid w:val="00DE47FF"/>
    <w:rsid w:val="00DE5203"/>
    <w:rsid w:val="00DE5259"/>
    <w:rsid w:val="00DE59BE"/>
    <w:rsid w:val="00DE5AA8"/>
    <w:rsid w:val="00DE5F57"/>
    <w:rsid w:val="00DE605D"/>
    <w:rsid w:val="00DE6207"/>
    <w:rsid w:val="00DE63C7"/>
    <w:rsid w:val="00DF00B5"/>
    <w:rsid w:val="00DF03F8"/>
    <w:rsid w:val="00DF0817"/>
    <w:rsid w:val="00DF0DCD"/>
    <w:rsid w:val="00DF1B3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C39"/>
    <w:rsid w:val="00DF5FEE"/>
    <w:rsid w:val="00DF61EB"/>
    <w:rsid w:val="00DF62C3"/>
    <w:rsid w:val="00DF638B"/>
    <w:rsid w:val="00DF6757"/>
    <w:rsid w:val="00DF7B3E"/>
    <w:rsid w:val="00E01AF8"/>
    <w:rsid w:val="00E026E4"/>
    <w:rsid w:val="00E029E6"/>
    <w:rsid w:val="00E02B17"/>
    <w:rsid w:val="00E04C26"/>
    <w:rsid w:val="00E04FE9"/>
    <w:rsid w:val="00E0507C"/>
    <w:rsid w:val="00E06983"/>
    <w:rsid w:val="00E06D3E"/>
    <w:rsid w:val="00E06F50"/>
    <w:rsid w:val="00E0775F"/>
    <w:rsid w:val="00E10CB6"/>
    <w:rsid w:val="00E10CFF"/>
    <w:rsid w:val="00E111AE"/>
    <w:rsid w:val="00E1150F"/>
    <w:rsid w:val="00E12150"/>
    <w:rsid w:val="00E135D5"/>
    <w:rsid w:val="00E14723"/>
    <w:rsid w:val="00E14F34"/>
    <w:rsid w:val="00E14F49"/>
    <w:rsid w:val="00E15711"/>
    <w:rsid w:val="00E15715"/>
    <w:rsid w:val="00E1571D"/>
    <w:rsid w:val="00E159E2"/>
    <w:rsid w:val="00E15F7A"/>
    <w:rsid w:val="00E17B20"/>
    <w:rsid w:val="00E17B9E"/>
    <w:rsid w:val="00E2012E"/>
    <w:rsid w:val="00E2064C"/>
    <w:rsid w:val="00E20F46"/>
    <w:rsid w:val="00E231A0"/>
    <w:rsid w:val="00E236E3"/>
    <w:rsid w:val="00E25044"/>
    <w:rsid w:val="00E25E4D"/>
    <w:rsid w:val="00E272EE"/>
    <w:rsid w:val="00E27586"/>
    <w:rsid w:val="00E27C99"/>
    <w:rsid w:val="00E31390"/>
    <w:rsid w:val="00E320A1"/>
    <w:rsid w:val="00E32853"/>
    <w:rsid w:val="00E33C69"/>
    <w:rsid w:val="00E33E15"/>
    <w:rsid w:val="00E35027"/>
    <w:rsid w:val="00E35DF1"/>
    <w:rsid w:val="00E36C9A"/>
    <w:rsid w:val="00E377E3"/>
    <w:rsid w:val="00E40339"/>
    <w:rsid w:val="00E40871"/>
    <w:rsid w:val="00E40F8E"/>
    <w:rsid w:val="00E4152D"/>
    <w:rsid w:val="00E417F6"/>
    <w:rsid w:val="00E41FE9"/>
    <w:rsid w:val="00E42262"/>
    <w:rsid w:val="00E424F9"/>
    <w:rsid w:val="00E428DA"/>
    <w:rsid w:val="00E4312E"/>
    <w:rsid w:val="00E435C9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2FDC"/>
    <w:rsid w:val="00E53270"/>
    <w:rsid w:val="00E537E7"/>
    <w:rsid w:val="00E5414B"/>
    <w:rsid w:val="00E54207"/>
    <w:rsid w:val="00E54826"/>
    <w:rsid w:val="00E54F6B"/>
    <w:rsid w:val="00E54F9C"/>
    <w:rsid w:val="00E55508"/>
    <w:rsid w:val="00E56489"/>
    <w:rsid w:val="00E569BA"/>
    <w:rsid w:val="00E57F9E"/>
    <w:rsid w:val="00E60562"/>
    <w:rsid w:val="00E6111D"/>
    <w:rsid w:val="00E61FAE"/>
    <w:rsid w:val="00E63723"/>
    <w:rsid w:val="00E638F9"/>
    <w:rsid w:val="00E649A2"/>
    <w:rsid w:val="00E64F03"/>
    <w:rsid w:val="00E6509D"/>
    <w:rsid w:val="00E65948"/>
    <w:rsid w:val="00E65A82"/>
    <w:rsid w:val="00E65EB6"/>
    <w:rsid w:val="00E66179"/>
    <w:rsid w:val="00E663D3"/>
    <w:rsid w:val="00E669F2"/>
    <w:rsid w:val="00E67415"/>
    <w:rsid w:val="00E700BC"/>
    <w:rsid w:val="00E71A55"/>
    <w:rsid w:val="00E723D3"/>
    <w:rsid w:val="00E731D1"/>
    <w:rsid w:val="00E739C2"/>
    <w:rsid w:val="00E73B56"/>
    <w:rsid w:val="00E74C92"/>
    <w:rsid w:val="00E76775"/>
    <w:rsid w:val="00E768A7"/>
    <w:rsid w:val="00E7732C"/>
    <w:rsid w:val="00E805E4"/>
    <w:rsid w:val="00E80BD8"/>
    <w:rsid w:val="00E80F5B"/>
    <w:rsid w:val="00E81117"/>
    <w:rsid w:val="00E81740"/>
    <w:rsid w:val="00E8214A"/>
    <w:rsid w:val="00E824EA"/>
    <w:rsid w:val="00E82C9F"/>
    <w:rsid w:val="00E83DF4"/>
    <w:rsid w:val="00E841B6"/>
    <w:rsid w:val="00E846E9"/>
    <w:rsid w:val="00E847F5"/>
    <w:rsid w:val="00E84813"/>
    <w:rsid w:val="00E85F44"/>
    <w:rsid w:val="00E86C13"/>
    <w:rsid w:val="00E86C50"/>
    <w:rsid w:val="00E902FA"/>
    <w:rsid w:val="00E91BB1"/>
    <w:rsid w:val="00E91FCC"/>
    <w:rsid w:val="00E92276"/>
    <w:rsid w:val="00E9245E"/>
    <w:rsid w:val="00E92A26"/>
    <w:rsid w:val="00E92A4C"/>
    <w:rsid w:val="00E92B03"/>
    <w:rsid w:val="00E93B45"/>
    <w:rsid w:val="00E9487B"/>
    <w:rsid w:val="00E95D1F"/>
    <w:rsid w:val="00E968AB"/>
    <w:rsid w:val="00E968EA"/>
    <w:rsid w:val="00E978EF"/>
    <w:rsid w:val="00E97C7E"/>
    <w:rsid w:val="00EA0D70"/>
    <w:rsid w:val="00EA1223"/>
    <w:rsid w:val="00EA1431"/>
    <w:rsid w:val="00EA42E5"/>
    <w:rsid w:val="00EA4534"/>
    <w:rsid w:val="00EA4D86"/>
    <w:rsid w:val="00EA4FA5"/>
    <w:rsid w:val="00EA5505"/>
    <w:rsid w:val="00EA5C78"/>
    <w:rsid w:val="00EA629F"/>
    <w:rsid w:val="00EA63EC"/>
    <w:rsid w:val="00EA7054"/>
    <w:rsid w:val="00EA72B7"/>
    <w:rsid w:val="00EB1C3E"/>
    <w:rsid w:val="00EB283D"/>
    <w:rsid w:val="00EB2D57"/>
    <w:rsid w:val="00EB2D6E"/>
    <w:rsid w:val="00EB2F07"/>
    <w:rsid w:val="00EB2F44"/>
    <w:rsid w:val="00EB3E9E"/>
    <w:rsid w:val="00EB3EAD"/>
    <w:rsid w:val="00EB47EC"/>
    <w:rsid w:val="00EB4E33"/>
    <w:rsid w:val="00EB55D9"/>
    <w:rsid w:val="00EB58FA"/>
    <w:rsid w:val="00EB5B29"/>
    <w:rsid w:val="00EB5FEE"/>
    <w:rsid w:val="00EB678A"/>
    <w:rsid w:val="00EB6D7F"/>
    <w:rsid w:val="00EB71F0"/>
    <w:rsid w:val="00EB74BD"/>
    <w:rsid w:val="00EB7E59"/>
    <w:rsid w:val="00EC1DAF"/>
    <w:rsid w:val="00EC2248"/>
    <w:rsid w:val="00EC2504"/>
    <w:rsid w:val="00EC2D2A"/>
    <w:rsid w:val="00EC3A21"/>
    <w:rsid w:val="00EC3D9F"/>
    <w:rsid w:val="00EC4008"/>
    <w:rsid w:val="00EC48A9"/>
    <w:rsid w:val="00EC5180"/>
    <w:rsid w:val="00EC5313"/>
    <w:rsid w:val="00EC5CCC"/>
    <w:rsid w:val="00EC696C"/>
    <w:rsid w:val="00EC72CF"/>
    <w:rsid w:val="00EC7592"/>
    <w:rsid w:val="00EC7899"/>
    <w:rsid w:val="00EC7986"/>
    <w:rsid w:val="00EC7BA5"/>
    <w:rsid w:val="00ED0505"/>
    <w:rsid w:val="00ED1184"/>
    <w:rsid w:val="00ED1195"/>
    <w:rsid w:val="00ED1498"/>
    <w:rsid w:val="00ED14E5"/>
    <w:rsid w:val="00ED21FB"/>
    <w:rsid w:val="00ED27C9"/>
    <w:rsid w:val="00ED2B69"/>
    <w:rsid w:val="00ED2F93"/>
    <w:rsid w:val="00ED39CE"/>
    <w:rsid w:val="00ED3A59"/>
    <w:rsid w:val="00ED420C"/>
    <w:rsid w:val="00ED442E"/>
    <w:rsid w:val="00ED45C5"/>
    <w:rsid w:val="00ED5251"/>
    <w:rsid w:val="00ED5B39"/>
    <w:rsid w:val="00ED5F0E"/>
    <w:rsid w:val="00ED6393"/>
    <w:rsid w:val="00ED6EEA"/>
    <w:rsid w:val="00ED7241"/>
    <w:rsid w:val="00ED7273"/>
    <w:rsid w:val="00ED790B"/>
    <w:rsid w:val="00ED7CCD"/>
    <w:rsid w:val="00ED7E79"/>
    <w:rsid w:val="00EE0112"/>
    <w:rsid w:val="00EE04AB"/>
    <w:rsid w:val="00EE242C"/>
    <w:rsid w:val="00EE2A97"/>
    <w:rsid w:val="00EE2EBA"/>
    <w:rsid w:val="00EE36FD"/>
    <w:rsid w:val="00EE45FC"/>
    <w:rsid w:val="00EE56AE"/>
    <w:rsid w:val="00EE6AEA"/>
    <w:rsid w:val="00EE7858"/>
    <w:rsid w:val="00EF0ADC"/>
    <w:rsid w:val="00EF1263"/>
    <w:rsid w:val="00EF12C9"/>
    <w:rsid w:val="00EF1A2D"/>
    <w:rsid w:val="00EF1BB3"/>
    <w:rsid w:val="00EF2137"/>
    <w:rsid w:val="00EF2B20"/>
    <w:rsid w:val="00EF2F37"/>
    <w:rsid w:val="00EF3161"/>
    <w:rsid w:val="00EF436D"/>
    <w:rsid w:val="00EF4803"/>
    <w:rsid w:val="00EF5775"/>
    <w:rsid w:val="00EF587B"/>
    <w:rsid w:val="00EF6673"/>
    <w:rsid w:val="00F00843"/>
    <w:rsid w:val="00F00EB9"/>
    <w:rsid w:val="00F01362"/>
    <w:rsid w:val="00F019A8"/>
    <w:rsid w:val="00F01F34"/>
    <w:rsid w:val="00F02572"/>
    <w:rsid w:val="00F0347C"/>
    <w:rsid w:val="00F03500"/>
    <w:rsid w:val="00F04FE0"/>
    <w:rsid w:val="00F05197"/>
    <w:rsid w:val="00F05ADD"/>
    <w:rsid w:val="00F063A9"/>
    <w:rsid w:val="00F0717D"/>
    <w:rsid w:val="00F07890"/>
    <w:rsid w:val="00F07974"/>
    <w:rsid w:val="00F10875"/>
    <w:rsid w:val="00F10A81"/>
    <w:rsid w:val="00F11380"/>
    <w:rsid w:val="00F1198F"/>
    <w:rsid w:val="00F11D32"/>
    <w:rsid w:val="00F124C5"/>
    <w:rsid w:val="00F1269E"/>
    <w:rsid w:val="00F13B52"/>
    <w:rsid w:val="00F146E9"/>
    <w:rsid w:val="00F1486D"/>
    <w:rsid w:val="00F14EA1"/>
    <w:rsid w:val="00F14F02"/>
    <w:rsid w:val="00F14F07"/>
    <w:rsid w:val="00F15406"/>
    <w:rsid w:val="00F15A96"/>
    <w:rsid w:val="00F15DB7"/>
    <w:rsid w:val="00F165A1"/>
    <w:rsid w:val="00F16809"/>
    <w:rsid w:val="00F17853"/>
    <w:rsid w:val="00F17B77"/>
    <w:rsid w:val="00F17DAA"/>
    <w:rsid w:val="00F17F38"/>
    <w:rsid w:val="00F21BBE"/>
    <w:rsid w:val="00F21DA8"/>
    <w:rsid w:val="00F21DC7"/>
    <w:rsid w:val="00F2253E"/>
    <w:rsid w:val="00F22D46"/>
    <w:rsid w:val="00F2430E"/>
    <w:rsid w:val="00F2476D"/>
    <w:rsid w:val="00F24CAB"/>
    <w:rsid w:val="00F2554D"/>
    <w:rsid w:val="00F25B6B"/>
    <w:rsid w:val="00F25F6B"/>
    <w:rsid w:val="00F26123"/>
    <w:rsid w:val="00F27ABA"/>
    <w:rsid w:val="00F27FFA"/>
    <w:rsid w:val="00F3023F"/>
    <w:rsid w:val="00F30354"/>
    <w:rsid w:val="00F30605"/>
    <w:rsid w:val="00F315EE"/>
    <w:rsid w:val="00F3193A"/>
    <w:rsid w:val="00F31B1B"/>
    <w:rsid w:val="00F321DF"/>
    <w:rsid w:val="00F3257E"/>
    <w:rsid w:val="00F328E3"/>
    <w:rsid w:val="00F33270"/>
    <w:rsid w:val="00F33D17"/>
    <w:rsid w:val="00F33E89"/>
    <w:rsid w:val="00F341D9"/>
    <w:rsid w:val="00F3433F"/>
    <w:rsid w:val="00F36013"/>
    <w:rsid w:val="00F365DB"/>
    <w:rsid w:val="00F36C15"/>
    <w:rsid w:val="00F375E1"/>
    <w:rsid w:val="00F40B66"/>
    <w:rsid w:val="00F40BF5"/>
    <w:rsid w:val="00F4158A"/>
    <w:rsid w:val="00F41A13"/>
    <w:rsid w:val="00F42431"/>
    <w:rsid w:val="00F425C6"/>
    <w:rsid w:val="00F427EC"/>
    <w:rsid w:val="00F437CC"/>
    <w:rsid w:val="00F43B24"/>
    <w:rsid w:val="00F43E18"/>
    <w:rsid w:val="00F442EE"/>
    <w:rsid w:val="00F44550"/>
    <w:rsid w:val="00F44B29"/>
    <w:rsid w:val="00F45AF6"/>
    <w:rsid w:val="00F45B7D"/>
    <w:rsid w:val="00F45DA9"/>
    <w:rsid w:val="00F47275"/>
    <w:rsid w:val="00F47C66"/>
    <w:rsid w:val="00F500E7"/>
    <w:rsid w:val="00F5067B"/>
    <w:rsid w:val="00F51108"/>
    <w:rsid w:val="00F5308A"/>
    <w:rsid w:val="00F530A0"/>
    <w:rsid w:val="00F5371A"/>
    <w:rsid w:val="00F545E4"/>
    <w:rsid w:val="00F54C87"/>
    <w:rsid w:val="00F56292"/>
    <w:rsid w:val="00F56457"/>
    <w:rsid w:val="00F574AA"/>
    <w:rsid w:val="00F574F3"/>
    <w:rsid w:val="00F57E49"/>
    <w:rsid w:val="00F607DD"/>
    <w:rsid w:val="00F61218"/>
    <w:rsid w:val="00F62820"/>
    <w:rsid w:val="00F6286C"/>
    <w:rsid w:val="00F62CDE"/>
    <w:rsid w:val="00F62D5B"/>
    <w:rsid w:val="00F62E90"/>
    <w:rsid w:val="00F62EE6"/>
    <w:rsid w:val="00F6323C"/>
    <w:rsid w:val="00F63D92"/>
    <w:rsid w:val="00F643B2"/>
    <w:rsid w:val="00F643C6"/>
    <w:rsid w:val="00F65097"/>
    <w:rsid w:val="00F65BAB"/>
    <w:rsid w:val="00F66C8B"/>
    <w:rsid w:val="00F670DC"/>
    <w:rsid w:val="00F67395"/>
    <w:rsid w:val="00F6760C"/>
    <w:rsid w:val="00F67A73"/>
    <w:rsid w:val="00F70189"/>
    <w:rsid w:val="00F727FC"/>
    <w:rsid w:val="00F7292C"/>
    <w:rsid w:val="00F73203"/>
    <w:rsid w:val="00F73BE8"/>
    <w:rsid w:val="00F73EDA"/>
    <w:rsid w:val="00F73FF5"/>
    <w:rsid w:val="00F74140"/>
    <w:rsid w:val="00F747A7"/>
    <w:rsid w:val="00F7492A"/>
    <w:rsid w:val="00F753F8"/>
    <w:rsid w:val="00F76612"/>
    <w:rsid w:val="00F76830"/>
    <w:rsid w:val="00F76D85"/>
    <w:rsid w:val="00F8144B"/>
    <w:rsid w:val="00F82933"/>
    <w:rsid w:val="00F831A7"/>
    <w:rsid w:val="00F845B1"/>
    <w:rsid w:val="00F84CC0"/>
    <w:rsid w:val="00F84D75"/>
    <w:rsid w:val="00F90DC4"/>
    <w:rsid w:val="00F91D71"/>
    <w:rsid w:val="00F91DF0"/>
    <w:rsid w:val="00F92802"/>
    <w:rsid w:val="00F92EDF"/>
    <w:rsid w:val="00F93231"/>
    <w:rsid w:val="00F93448"/>
    <w:rsid w:val="00F94BB5"/>
    <w:rsid w:val="00F9532F"/>
    <w:rsid w:val="00F95A8A"/>
    <w:rsid w:val="00F95E29"/>
    <w:rsid w:val="00F95E53"/>
    <w:rsid w:val="00FA0E1D"/>
    <w:rsid w:val="00FA0E5D"/>
    <w:rsid w:val="00FA1864"/>
    <w:rsid w:val="00FA1C22"/>
    <w:rsid w:val="00FA2FF3"/>
    <w:rsid w:val="00FA31AA"/>
    <w:rsid w:val="00FA36A2"/>
    <w:rsid w:val="00FA3CD2"/>
    <w:rsid w:val="00FA3EF0"/>
    <w:rsid w:val="00FA5200"/>
    <w:rsid w:val="00FA5FF0"/>
    <w:rsid w:val="00FA6491"/>
    <w:rsid w:val="00FA6493"/>
    <w:rsid w:val="00FA678D"/>
    <w:rsid w:val="00FA6D01"/>
    <w:rsid w:val="00FA77D6"/>
    <w:rsid w:val="00FA7CF0"/>
    <w:rsid w:val="00FB0456"/>
    <w:rsid w:val="00FB0974"/>
    <w:rsid w:val="00FB19C4"/>
    <w:rsid w:val="00FB1A70"/>
    <w:rsid w:val="00FB1F5D"/>
    <w:rsid w:val="00FB25BD"/>
    <w:rsid w:val="00FB2BEB"/>
    <w:rsid w:val="00FB2BF4"/>
    <w:rsid w:val="00FB2DAA"/>
    <w:rsid w:val="00FB3C0A"/>
    <w:rsid w:val="00FB4000"/>
    <w:rsid w:val="00FB405E"/>
    <w:rsid w:val="00FB4D5D"/>
    <w:rsid w:val="00FB69CF"/>
    <w:rsid w:val="00FB6BE4"/>
    <w:rsid w:val="00FB6DC2"/>
    <w:rsid w:val="00FB6F77"/>
    <w:rsid w:val="00FB6FBC"/>
    <w:rsid w:val="00FB7426"/>
    <w:rsid w:val="00FB7BF6"/>
    <w:rsid w:val="00FB7D10"/>
    <w:rsid w:val="00FC165D"/>
    <w:rsid w:val="00FC1D5D"/>
    <w:rsid w:val="00FC237A"/>
    <w:rsid w:val="00FC30A0"/>
    <w:rsid w:val="00FC353F"/>
    <w:rsid w:val="00FC3FE2"/>
    <w:rsid w:val="00FC405A"/>
    <w:rsid w:val="00FC45DB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6A4"/>
    <w:rsid w:val="00FD378E"/>
    <w:rsid w:val="00FD3856"/>
    <w:rsid w:val="00FD3BC7"/>
    <w:rsid w:val="00FD419E"/>
    <w:rsid w:val="00FD4367"/>
    <w:rsid w:val="00FD54FE"/>
    <w:rsid w:val="00FD5DBF"/>
    <w:rsid w:val="00FD6509"/>
    <w:rsid w:val="00FD667C"/>
    <w:rsid w:val="00FD7301"/>
    <w:rsid w:val="00FD7E13"/>
    <w:rsid w:val="00FE0473"/>
    <w:rsid w:val="00FE0478"/>
    <w:rsid w:val="00FE1F35"/>
    <w:rsid w:val="00FE31F5"/>
    <w:rsid w:val="00FE422B"/>
    <w:rsid w:val="00FE4B81"/>
    <w:rsid w:val="00FE5176"/>
    <w:rsid w:val="00FE55C6"/>
    <w:rsid w:val="00FE643B"/>
    <w:rsid w:val="00FE7212"/>
    <w:rsid w:val="00FE7655"/>
    <w:rsid w:val="00FE7E95"/>
    <w:rsid w:val="00FE7F34"/>
    <w:rsid w:val="00FF0AE0"/>
    <w:rsid w:val="00FF0C93"/>
    <w:rsid w:val="00FF22AD"/>
    <w:rsid w:val="00FF348D"/>
    <w:rsid w:val="00FF3D28"/>
    <w:rsid w:val="00FF52DD"/>
    <w:rsid w:val="00FF5AD6"/>
    <w:rsid w:val="00FF5B09"/>
    <w:rsid w:val="00FF5B51"/>
    <w:rsid w:val="00FF5D87"/>
    <w:rsid w:val="00FF5F4C"/>
    <w:rsid w:val="00FF6026"/>
    <w:rsid w:val="00FF626F"/>
    <w:rsid w:val="00FF71B3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character" w:customStyle="1" w:styleId="Menzionenonrisolta22">
    <w:name w:val="Menzione non risolta22"/>
    <w:basedOn w:val="Carpredefinitoparagrafo"/>
    <w:uiPriority w:val="99"/>
    <w:semiHidden/>
    <w:unhideWhenUsed/>
    <w:rsid w:val="0028654B"/>
    <w:rPr>
      <w:color w:val="605E5C"/>
      <w:shd w:val="clear" w:color="auto" w:fill="E1DFDD"/>
    </w:rPr>
  </w:style>
  <w:style w:type="character" w:customStyle="1" w:styleId="Menzionenonrisolta23">
    <w:name w:val="Menzione non risolta23"/>
    <w:basedOn w:val="Carpredefinitoparagrafo"/>
    <w:uiPriority w:val="99"/>
    <w:semiHidden/>
    <w:unhideWhenUsed/>
    <w:rsid w:val="00DB097D"/>
    <w:rPr>
      <w:color w:val="605E5C"/>
      <w:shd w:val="clear" w:color="auto" w:fill="E1DFDD"/>
    </w:rPr>
  </w:style>
  <w:style w:type="character" w:customStyle="1" w:styleId="iss-card-par">
    <w:name w:val="iss-card-par"/>
    <w:basedOn w:val="Carpredefinitoparagrafo"/>
    <w:rsid w:val="0059075D"/>
  </w:style>
  <w:style w:type="character" w:customStyle="1" w:styleId="Menzionenonrisolta24">
    <w:name w:val="Menzione non risolta24"/>
    <w:basedOn w:val="Carpredefinitoparagrafo"/>
    <w:uiPriority w:val="99"/>
    <w:semiHidden/>
    <w:unhideWhenUsed/>
    <w:rsid w:val="00973380"/>
    <w:rPr>
      <w:color w:val="605E5C"/>
      <w:shd w:val="clear" w:color="auto" w:fill="E1DFDD"/>
    </w:rPr>
  </w:style>
  <w:style w:type="character" w:customStyle="1" w:styleId="Menzionenonrisolta25">
    <w:name w:val="Menzione non risolta25"/>
    <w:basedOn w:val="Carpredefinitoparagrafo"/>
    <w:uiPriority w:val="99"/>
    <w:semiHidden/>
    <w:unhideWhenUsed/>
    <w:rsid w:val="00407CC4"/>
    <w:rPr>
      <w:color w:val="605E5C"/>
      <w:shd w:val="clear" w:color="auto" w:fill="E1DFDD"/>
    </w:rPr>
  </w:style>
  <w:style w:type="character" w:customStyle="1" w:styleId="Menzionenonrisolta26">
    <w:name w:val="Menzione non risolta26"/>
    <w:basedOn w:val="Carpredefinitoparagrafo"/>
    <w:uiPriority w:val="99"/>
    <w:semiHidden/>
    <w:unhideWhenUsed/>
    <w:rsid w:val="00492C3C"/>
    <w:rPr>
      <w:color w:val="605E5C"/>
      <w:shd w:val="clear" w:color="auto" w:fill="E1DFDD"/>
    </w:rPr>
  </w:style>
  <w:style w:type="character" w:customStyle="1" w:styleId="Menzionenonrisolta27">
    <w:name w:val="Menzione non risolta27"/>
    <w:basedOn w:val="Carpredefinitoparagrafo"/>
    <w:uiPriority w:val="99"/>
    <w:semiHidden/>
    <w:unhideWhenUsed/>
    <w:rsid w:val="00FB2BE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s.it/documents/20126/0/reportBollettino+varianti+fino+al+19+maggio+2021.pdf/1e7218cc-c084-a7af-0a4c-6573acb3eba9?t=1621944222307" TargetMode="External"/><Relationship Id="rId13" Type="http://schemas.openxmlformats.org/officeDocument/2006/relationships/hyperlink" Target="mailto:ufficio.stampa@gimbe.or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coronavirus.gimbe.or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khub.net/documents/135939561/430986542/Effectiveness+of+COVID-19+vaccines+against+the+B.1.617.2+variant.pdf/204c11a4-e02e-11f2-db19-b3664107ac42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cdc.europa.eu/sites/default/files/documents/Guidance-for-representative-and-targeted-genomic-SARS-CoV-2-monitoring-updated-with%20erratum-20-May-2021.pdf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2C199-FE31-451F-82DE-9DCAB15C8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1778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12</cp:revision>
  <cp:lastPrinted>2021-02-16T16:57:00Z</cp:lastPrinted>
  <dcterms:created xsi:type="dcterms:W3CDTF">2021-06-03T06:45:00Z</dcterms:created>
  <dcterms:modified xsi:type="dcterms:W3CDTF">2021-06-03T13:04:00Z</dcterms:modified>
</cp:coreProperties>
</file>